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ind w:left="6372" w:hanging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Łódź, dnia 28 sierpnia 2023 r. 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32"/>
          <w:szCs w:val="32"/>
        </w:rPr>
      </w:pPr>
      <w:r>
        <w:rPr>
          <w:rFonts w:eastAsia="Calibri" w:cs="Times New Roman"/>
          <w:b/>
        </w:rPr>
        <w:t xml:space="preserve">                        </w:t>
      </w:r>
      <w:r>
        <w:rPr>
          <w:rFonts w:eastAsia="Calibri" w:cs="Times New Roman"/>
          <w:b/>
          <w:sz w:val="32"/>
          <w:szCs w:val="32"/>
        </w:rPr>
        <w:t>RAPORT O STANIE BRANŻY OBUWNICZEJ W POLSCE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Spis treści: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 Dane statystyczne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 Mocne strony branży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Zagrożenia dla branży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Warunki konieczne dla zrównoważonego rozwoju polskiej branży obuwniczej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br/>
      </w:r>
      <w:r>
        <w:rPr>
          <w:rFonts w:eastAsia="Calibri" w:cs="Times New Roman"/>
        </w:rPr>
        <w:t>1. DANE STATYSTYCZNE</w:t>
      </w:r>
    </w:p>
    <w:p>
      <w:pPr>
        <w:pStyle w:val="Normal"/>
        <w:spacing w:lineRule="auto" w:line="276" w:before="0" w:after="200"/>
        <w:rPr>
          <w:rFonts w:eastAsia="Calibri" w:cs="Times New Roman"/>
          <w:b/>
          <w:b/>
          <w:color w:val="C00000"/>
        </w:rPr>
      </w:pPr>
      <w:r>
        <w:rPr>
          <w:rFonts w:eastAsia="Calibri" w:cs="Times New Roman"/>
          <w:color w:val="C00000"/>
        </w:rPr>
        <w:t xml:space="preserve"> </w:t>
      </w:r>
      <w:r>
        <w:rPr>
          <w:rFonts w:eastAsia="Calibri" w:cs="Times New Roman"/>
          <w:b/>
          <w:color w:val="C00000"/>
        </w:rPr>
        <w:t xml:space="preserve">45. miejsce na świecie w produkcji obuwia  </w:t>
      </w:r>
    </w:p>
    <w:p>
      <w:pPr>
        <w:pStyle w:val="Normal"/>
        <w:spacing w:lineRule="auto" w:line="276" w:before="0" w:after="200"/>
        <w:rPr>
          <w:rFonts w:eastAsia="Calibri" w:cs="Times New Roman"/>
          <w:b/>
          <w:b/>
          <w:color w:val="C00000"/>
        </w:rPr>
      </w:pPr>
      <w:r>
        <w:rPr>
          <w:rFonts w:eastAsia="Calibri" w:cs="Times New Roman"/>
          <w:b/>
          <w:color w:val="C00000"/>
        </w:rPr>
        <w:t xml:space="preserve">    </w:t>
      </w:r>
    </w:p>
    <w:tbl>
      <w:tblPr>
        <w:tblW w:w="1009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04"/>
        <w:gridCol w:w="995"/>
        <w:gridCol w:w="1239"/>
        <w:gridCol w:w="1307"/>
        <w:gridCol w:w="1272"/>
        <w:gridCol w:w="1273"/>
      </w:tblGrid>
      <w:tr>
        <w:trPr/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DBDB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Dział</w:t>
            </w:r>
          </w:p>
        </w:tc>
        <w:tc>
          <w:tcPr>
            <w:tcW w:w="9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DBDB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Jedn.</w:t>
            </w:r>
          </w:p>
        </w:tc>
        <w:tc>
          <w:tcPr>
            <w:tcW w:w="1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DBDB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2020</w:t>
            </w: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DBDB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2021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DBDB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2022</w:t>
            </w:r>
          </w:p>
        </w:tc>
        <w:tc>
          <w:tcPr>
            <w:tcW w:w="1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DBDB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Zmiana %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2022/2021</w:t>
            </w:r>
          </w:p>
        </w:tc>
      </w:tr>
      <w:tr>
        <w:trPr/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Produkcja obuwia (łącznie z gumowym)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 obuwie nieprzemakalne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 obuwie wyjściowe z wierzchami            z gumy lub tworzyw sztucznych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 pantofle lub inne obuwie domowe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 obuwie z wierzchami wykonanymi ze skóry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 obuwie tekstylne (z wyłączeniem   sportowego)</w:t>
            </w:r>
          </w:p>
        </w:tc>
        <w:tc>
          <w:tcPr>
            <w:tcW w:w="9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mln par</w:t>
            </w:r>
          </w:p>
        </w:tc>
        <w:tc>
          <w:tcPr>
            <w:tcW w:w="1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28,49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3,40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9,21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1,59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6,71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8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5,31</w:t>
            </w: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26,23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5,18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5,43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1,74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5,83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5,32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25,15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4,58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6,73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1,64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4,57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4,98</w:t>
            </w:r>
          </w:p>
        </w:tc>
        <w:tc>
          <w:tcPr>
            <w:tcW w:w="1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-4,12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-11,58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+23,94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-5,75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-21,61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-6,39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color w:val="FF0000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dane przy zatrudnieniu powyżej 9 osób w przedsiębiorstwie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  <w:color w:val="FF0000"/>
        </w:rPr>
      </w:pPr>
      <w:r>
        <w:rPr>
          <w:rFonts w:eastAsia="Calibri" w:cs="Times New Roman"/>
          <w:b/>
          <w:color w:val="FF0000"/>
        </w:rPr>
      </w:r>
    </w:p>
    <w:tbl>
      <w:tblPr>
        <w:tblW w:w="1009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04"/>
        <w:gridCol w:w="995"/>
        <w:gridCol w:w="1272"/>
        <w:gridCol w:w="1274"/>
        <w:gridCol w:w="1272"/>
        <w:gridCol w:w="1273"/>
      </w:tblGrid>
      <w:tr>
        <w:trPr/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Wartość produkcji sprzedanej: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- Obuwie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mln zł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1 505,13</w:t>
            </w:r>
          </w:p>
        </w:tc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1 433,11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1 498,87</w:t>
            </w:r>
          </w:p>
        </w:tc>
        <w:tc>
          <w:tcPr>
            <w:tcW w:w="1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+4,59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76" w:before="0" w:after="200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  <w:t>Konsumpcja: 149 mln par obuwia w roku 2022, 30. miejsce na świecie</w:t>
      </w:r>
    </w:p>
    <w:p>
      <w:pPr>
        <w:pStyle w:val="Normal"/>
        <w:spacing w:lineRule="auto" w:line="276" w:before="0" w:after="200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</w:r>
    </w:p>
    <w:tbl>
      <w:tblPr>
        <w:tblW w:w="909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04"/>
        <w:gridCol w:w="1272"/>
        <w:gridCol w:w="1274"/>
        <w:gridCol w:w="1272"/>
        <w:gridCol w:w="1274"/>
      </w:tblGrid>
      <w:tr>
        <w:trPr/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pl-PL"/>
              </w:rPr>
              <w:t>Zmiana %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pl-PL"/>
              </w:rPr>
              <w:t>2022/2021</w:t>
            </w:r>
          </w:p>
        </w:tc>
      </w:tr>
      <w:tr>
        <w:trPr/>
        <w:tc>
          <w:tcPr>
            <w:tcW w:w="40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Liczba firm w przemyśle skórzanym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tym: Wyprawa skór, garbowanie; wyprawa   i barwienie skór futerkowych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tym: Produkcja toreb bagażowych, toreb ręcznych i podobnych wyrobów kaletniczych; produkcja wyrobów rymarskich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tym: Produkcja obuwia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5 137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353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1 707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3 077</w:t>
            </w:r>
          </w:p>
        </w:tc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4 891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334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1 651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2 906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4659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317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1 596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2746</w:t>
            </w:r>
          </w:p>
        </w:tc>
        <w:tc>
          <w:tcPr>
            <w:tcW w:w="12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-4,74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-5,09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-3,3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-5,51</w:t>
            </w:r>
          </w:p>
        </w:tc>
      </w:tr>
    </w:tbl>
    <w:p>
      <w:pPr>
        <w:pStyle w:val="Normal"/>
        <w:spacing w:lineRule="auto" w:line="276" w:before="0" w:after="200"/>
        <w:rPr>
          <w:rFonts w:eastAsia="Calibri" w:cs="Times New Roman"/>
          <w:b/>
          <w:b/>
        </w:rPr>
      </w:pPr>
      <w:r>
        <w:rPr>
          <w:rFonts w:eastAsia="Calibri" w:cs="Times New Roman"/>
          <w:b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 xml:space="preserve">                                                                                 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Eksport obuwia w roku 2022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10 miejsce na świecie w eksporcie obuwia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tbl>
      <w:tblPr>
        <w:tblW w:w="9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2"/>
        <w:gridCol w:w="1155"/>
        <w:gridCol w:w="1073"/>
        <w:gridCol w:w="1074"/>
        <w:gridCol w:w="1077"/>
        <w:gridCol w:w="1083"/>
        <w:gridCol w:w="1083"/>
        <w:gridCol w:w="1164"/>
      </w:tblGrid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+wzrost %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-spadek %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2022/2021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Ilość obuwia ogółem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mln par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106,70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120,62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122,28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130,85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134,62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+2,88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Wartość obuwia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mln EUR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1 666,37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2 072,53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2 195,53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2 527,73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2 733,50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+8,14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Średnia cena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EUR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15,62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17,18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17,95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19,32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20,30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+5,07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Średnia cena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66,58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73,84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79,78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88,24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95,14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+7,82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pl-PL"/>
        </w:rPr>
      </w:r>
    </w:p>
    <w:tbl>
      <w:tblPr>
        <w:tblW w:w="186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40"/>
        <w:gridCol w:w="1320"/>
        <w:gridCol w:w="1320"/>
        <w:gridCol w:w="1320"/>
        <w:gridCol w:w="1319"/>
        <w:gridCol w:w="1320"/>
        <w:gridCol w:w="1500"/>
      </w:tblGrid>
      <w:tr>
        <w:trPr>
          <w:trHeight w:val="255" w:hRule="atLeast"/>
        </w:trPr>
        <w:tc>
          <w:tcPr>
            <w:tcW w:w="10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pl-PL"/>
              </w:rPr>
              <w:t>* 1EUR =  4,6869 PLN -  średni kurs NBP za rok 2022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Times New Roman"/>
          <w:b/>
          <w:b/>
          <w:color w:val="FF0000"/>
        </w:rPr>
      </w:pPr>
      <w:r>
        <w:rPr>
          <w:rFonts w:eastAsia="Calibri" w:cs="Times New Roman"/>
          <w:b/>
          <w:color w:val="FF0000"/>
        </w:rPr>
        <w:t>EKSPORT</w:t>
      </w:r>
    </w:p>
    <w:p>
      <w:pPr>
        <w:pStyle w:val="Normal"/>
        <w:spacing w:lineRule="auto" w:line="276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Obuwie tworzywowe: 33%</w:t>
      </w:r>
    </w:p>
    <w:p>
      <w:pPr>
        <w:pStyle w:val="Normal"/>
        <w:spacing w:lineRule="auto" w:line="276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Obuwie tekstylne: 30%</w:t>
      </w:r>
    </w:p>
    <w:p>
      <w:pPr>
        <w:pStyle w:val="Normal"/>
        <w:spacing w:lineRule="auto" w:line="276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Obuwie skórzane: 27%</w:t>
      </w:r>
    </w:p>
    <w:p>
      <w:pPr>
        <w:pStyle w:val="Normal"/>
        <w:spacing w:lineRule="auto" w:line="276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Pozostałe: 7%</w:t>
      </w:r>
    </w:p>
    <w:p>
      <w:pPr>
        <w:pStyle w:val="Normal"/>
        <w:spacing w:lineRule="auto" w:line="276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Obuwie gumowe: 3%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Struktura eksportu polskiego obuwia w 2022 roku w tysiącach par ze względu na kraje przeznaczenia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80808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- wybrane  największe kierunki eksportowe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tbl>
      <w:tblPr>
        <w:tblpPr w:vertAnchor="text" w:horzAnchor="margin" w:leftFromText="141" w:rightFromText="141" w:tblpX="108" w:tblpY="194"/>
        <w:tblW w:w="81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0"/>
        <w:gridCol w:w="2565"/>
        <w:gridCol w:w="1630"/>
        <w:gridCol w:w="1991"/>
        <w:gridCol w:w="1441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 tys. par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 tys. EUR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  tys. PLN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Niemcy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38 740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810 460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3 791 193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Czechy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13 779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219 154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1 026 606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Rumunia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10 979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191 789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895 798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Węgry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6 745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113 176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529 103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Słowacja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5 728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96 276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450 855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Włochy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5 318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125 901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588 259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Federacja Rosyjska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4 193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104 332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487 190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San Marino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4 139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21 879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101 643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Litwa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3 436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60 674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284 215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Niderlandy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3 211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66 069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309 863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Bułgaria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3 150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74 680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350 191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Francja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3 093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68 685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320 442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Ukraina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2 791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61 998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291 503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Chorwacja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2 773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48 426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226 758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Austria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2 751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62 713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293 821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Hiszpania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2 168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52 021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242 906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Szwajcaria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2 078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101 941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477 931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Łotwa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2 029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29 419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137 876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Dania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1 822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35 933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169 078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Grecja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1 635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56 061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262 868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Szwecja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1 579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41 296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194 399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Zjednoczone Królestwo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1 476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48 575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227 366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Estonia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1 213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13 409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62 939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Norwegia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1 194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63 127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295 699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Belgia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1 193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22 635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105 902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7 405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142 821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669 957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134 618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2 733 450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12 794 361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Import obuwia w roku 2022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11 miejsce na świecie w imporcie obuwia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tbl>
      <w:tblPr>
        <w:tblW w:w="9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2"/>
        <w:gridCol w:w="1155"/>
        <w:gridCol w:w="1073"/>
        <w:gridCol w:w="1074"/>
        <w:gridCol w:w="1077"/>
        <w:gridCol w:w="1083"/>
        <w:gridCol w:w="1083"/>
        <w:gridCol w:w="1164"/>
      </w:tblGrid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+wzrost %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-spadek %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2022/2021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Ilość obuwia ogółem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mln par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214,03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230,39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215,45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239,29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258,91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+8,20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Wartość obuwia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mln EUR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2 331,30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2 686,55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2 859,27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3 179,65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3 818,21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+20,08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Średnia cena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EUR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10,89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11,66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13,29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14,75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+10,99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Średnia cena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46,42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50,11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58,98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60,70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69,13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+13,89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pl-PL"/>
        </w:rPr>
      </w:r>
    </w:p>
    <w:tbl>
      <w:tblPr>
        <w:tblW w:w="186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40"/>
        <w:gridCol w:w="1320"/>
        <w:gridCol w:w="1320"/>
        <w:gridCol w:w="1320"/>
        <w:gridCol w:w="1319"/>
        <w:gridCol w:w="1320"/>
        <w:gridCol w:w="1500"/>
      </w:tblGrid>
      <w:tr>
        <w:trPr>
          <w:trHeight w:val="255" w:hRule="atLeast"/>
        </w:trPr>
        <w:tc>
          <w:tcPr>
            <w:tcW w:w="105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pl-PL"/>
              </w:rPr>
              <w:t>* 1EUR =  4,6869 PLN -  średni kurs NBP za rok 2022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lang w:eastAsia="pl-PL"/>
        </w:rPr>
      </w:pPr>
      <w:r>
        <w:rPr>
          <w:rFonts w:eastAsia="Times New Roman" w:cs="Times New Roman" w:ascii="Times New Roman" w:hAnsi="Times New Roman"/>
          <w:b/>
          <w:color w:val="FF0000"/>
          <w:lang w:eastAsia="pl-PL"/>
        </w:rPr>
        <w:t>IMPORT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Obuwie tworzywowe: 37%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Obuwie tekstylne: 35%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Obuwie skórzane: 22%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Pozostałe: 5%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Obuwie gumowe: 1%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Struktura importu obuwia w 2022 roku w tysiącach par ze względu na kraje pochodzenia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- wybrane  największe kierunki importowe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tbl>
      <w:tblPr>
        <w:tblpPr w:bottomFromText="0" w:horzAnchor="margin" w:leftFromText="141" w:rightFromText="141" w:tblpX="36" w:tblpY="143" w:topFromText="0" w:vertAnchor="text"/>
        <w:tblW w:w="92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74"/>
        <w:gridCol w:w="2756"/>
        <w:gridCol w:w="1853"/>
        <w:gridCol w:w="1933"/>
        <w:gridCol w:w="1857"/>
      </w:tblGrid>
      <w:tr>
        <w:trPr>
          <w:trHeight w:val="491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 tys. par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 tys. EUR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w tys. PLN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Chiny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155 370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1 500 739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7 021 721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Wietnam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21 083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583 856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2 733 154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Niemcy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12 062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279 074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1 301 158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Bangladesz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9 768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118 449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555 114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Indie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9 351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157 805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740 014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Indonezja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7 201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215 363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1 006 737</w:t>
            </w:r>
          </w:p>
        </w:tc>
      </w:tr>
      <w:tr>
        <w:trPr>
          <w:trHeight w:val="208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Włochy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5 101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172 718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808 121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Ukraina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4 371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19 409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90 147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Turcja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4 082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51 336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240 050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Niderlandy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3 882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71 972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337 107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Mjanma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3 463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42 469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199 310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Kambodża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3 060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82 792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387 209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Hiszpania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1 939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46 587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217 673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Dania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1 808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59 355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281 120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Francja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1 448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29 404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136 144</w:t>
            </w:r>
          </w:p>
        </w:tc>
      </w:tr>
      <w:tr>
        <w:trPr>
          <w:trHeight w:val="219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Maroko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1 397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32 971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154 193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Tunezja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1 306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29 205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136 459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Portugalia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1 298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51 482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241 818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Belgia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1 248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40 636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189 649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Węgry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1 089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15 684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73 041</w:t>
            </w:r>
          </w:p>
        </w:tc>
      </w:tr>
      <w:tr>
        <w:trPr>
          <w:trHeight w:val="245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Pozostali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8 591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216 904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0"/>
                <w:szCs w:val="20"/>
                <w:lang w:eastAsia="pl-PL"/>
              </w:rPr>
              <w:t>1 014 011</w:t>
            </w:r>
          </w:p>
        </w:tc>
      </w:tr>
      <w:tr>
        <w:trPr>
          <w:trHeight w:val="262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258 918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3 818 210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17 863 950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16"/>
          <w:szCs w:val="16"/>
          <w:u w:val="single"/>
        </w:rPr>
      </w:pPr>
      <w:r>
        <w:rPr>
          <w:rFonts w:eastAsia="Calibri" w:cs="Times New Roman"/>
          <w:sz w:val="16"/>
          <w:szCs w:val="16"/>
          <w:u w:val="single"/>
        </w:rPr>
        <w:t>Źródła: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GUS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Zestawienie eksportowe i importowe wygenerowano na podstawie zbioru rocznego Wydziału Centrum Analitycznego Izby Administracji Skarbowej w Warszawie zatwierdzonego przez GUS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World Footwear 2023 Yearbook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2.  MOCNE STRONY BRANŻY</w:t>
        <w:br/>
        <w:br/>
        <w:t>Branża skórzano-obuwnicza jest istotną częścią sektora TCLF, który staje się bardzo ważnym komponentem unijnej gospodarki. Tworzone są dla niej liczne programy i przedsięwzięcia związane z edukacją zawodową, zatrudnieniem, ochroną środowiska i konwersją do sektora obiegu zamkniętego w gospodarce.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Nasze mocne strony to: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Tworzenie miejsc pracy w regionach, gdzie nie ma wielkich inwestycji i oddziałów zagranicznych koncernów,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Łączenie nowoczesności z wieloletnią tradycją rzemieślniczą,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- zatrudnianie wykwalifikowanej kadry pracowniczej, 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rozproszony system produkcji (przeważający udział mikro i małych firm) odporny na globalne kryzysy gospodarcze dzięki bazowaniu na lokalnych surowcach i krótkich łańcuchach dostaw. Małe firmy rodzinne, działające w takiej właśnie strukturze, odegrają kluczową rolę w transformacji rynku pracy w tych regionach, gdzie w najbliższych latach taka transformacja będzie konieczna, choćby z powodu oczekiwanej dekarbonizacji naszej gospodarki lub innych względów ekonomicznych, które mogą być wymuszone przez stan gospodarki globalnej,</w:t>
        <w:b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wysokie nasycenie technologią na etapach projektowania i produkcji,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znaczący udział w rozwoju e-commerce,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wysoka elastyczność produkcji, krótki czas dostaw i niski poziom wytwarzanego śladu węglowego,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łatwość konwersji w przedsiębiorstwa działające zgodnie z zasadą zrównoważonego rozwoju,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br/>
        <w:t>- wysoka biodegradowalność wytwarzanych odpadów i produktów po zakończeniu ich użytkowania,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zróżnicowana oferta produktowa,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branża z przyszłością w dobie slow life i ekologii.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3.  ZAGROŻENIA DLA BRANŻY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funkcjonowanie nieformalnego obiegu towarowego produktów importowanych niskiej jakości                i wartości, obarczonych ryzykiem występowania zabronionych substancji chemicznych, stanowiących zagrożenie dla zdrowia konsumentów,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słabość instytucji państwa (UOKiK, KAS) w zwalczaniu wyżej opisanych zjawisk, wynikająca z ich niedoinwestowania,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stale rosnące koszty prowadzenia działalności (energia elektryczna, koszty zatrudnienia, nowe obciążenia fiskalne wynikające z wdrożenia Polskiego Ładu),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- rosnąca liczba obowiązków dotycząca rozliczeń podatkowych, sprawozdawczości, procedur związanych z zatrudnieniem, ochroną środowiska, </w:t>
        <w:br/>
        <w:br/>
        <w:t>- dominacja kapitałowa dużych korporacji korzystających z niedoskonałości systemów prawnych i podatkowych, bądź korzystających ze statusu spółek technologicznych i związanych z tym korzyści podatkowych,</w:t>
        <w:br/>
        <w:t>- nieprzestrzeganie zasad fair trade przez duże korporacje handlowe i sklepy sieciowe, głównie w zakresie nieuzasadnionych rachunkiem ekonomicznym promocji i wyprzedaży,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- </w:t>
      </w:r>
      <w:r>
        <w:rPr>
          <w:rFonts w:eastAsia="Calibri" w:cs="Times New Roman"/>
        </w:rPr>
        <w:t xml:space="preserve">niekorzystnie </w:t>
      </w:r>
      <w:r>
        <w:rPr>
          <w:rFonts w:eastAsia="Calibri" w:cs="Times New Roman"/>
        </w:rPr>
        <w:t>sformułowane przepisy dotyczące podmiotów dominujących na rynku. Część rynku, opanowana przez podmioty dominujące, powinna być obliczana jako wartość łączna i nie powinna znacząco przekraczać części pozostawionej dla podmiotów rozproszonych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niska zdolność kapitałowa do promocji własnej mar</w:t>
      </w:r>
      <w:bookmarkStart w:id="0" w:name="_GoBack"/>
      <w:bookmarkEnd w:id="0"/>
      <w:r>
        <w:rPr>
          <w:rFonts w:eastAsia="Calibri" w:cs="Times New Roman"/>
        </w:rPr>
        <w:t>ki,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niska świadomość konsumencka, brak programów i kampanii na temat szkodliwości niskiej jakości produktów, wytworzonych z materiałów niewiadomego pochodzenia,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brak czytelnych zasad dotyczących znakowania obuwia krajem pochodzenia na poziomie legislacji unijnej i krajowej,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brak efektywnych programów wsparcia eksportu, zwłaszcza na poziomie rządowym,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brak efektywnego systemu szkolnictwa zawodowego (BCU mają dopiero powstać),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  <w:t>- brak zorganizowanego samorządu gospodarczego, który miałby realny wpływ na decyzje polityków    i byłby w stanie sam rozwiązywać problemy branży.</w:t>
      </w:r>
    </w:p>
    <w:p>
      <w:pPr>
        <w:pStyle w:val="Normal"/>
        <w:spacing w:lineRule="auto" w:line="276" w:before="0" w:after="12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4.  WARUNKI KONIECZNE DLA ZRÓWNOWAŻONEGO ROZWOJU POLSKIEJ BRANŻY OBUWNICZEJ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4.1. </w:t>
      </w:r>
      <w:r>
        <w:rPr>
          <w:rFonts w:eastAsia="Calibri" w:cs="Calibri"/>
        </w:rPr>
        <w:t>Ograniczenie niekontrolowanego napływu towarów niskiej jakości produkowanych poza UE poprzez pełne wykorzystanie organów Państwa (UOKiK, Ministerstwo Zdrowia, Krajowa Administracja Skarbowa) do działań monitorujących i kontrolnych, w tym skuteczne egzekwowanie  rozporządzenia REACH obowiązującego dla całej Unii Europejskiej, regulującego dopuszczalny poziom określonych substancji (w szczególności kancerogennych) lub ich całkowity zakaz. Konieczne jest wdrożenie skutecznych środków monitorowania i kontroli dopuszczalnego poziomu substancji szkodliwych występujących w obuwiu i innych wyrobach skórzanych sprowadzanych na rynek krajowy.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4.2 Zmiana wadliwych przepisów prawa krajowego, dopuszczających znakowanie towarów sprowadzanych z krajów trzecich znakiem towarowym producenta krajowego. W szczególności chodzi o ustawę z dnia 12 grudnia 2003 r. O ogólnym bezpieczeństwie produktów Dz.U. 2003 Nr 229 poz. 2275, która w Art. 3 pkt. 2, która niewłaściwie i nieprecyzyjnie definiuje pojęcie producenta towaru. W myśl przepisów tej ustawy przedsiębiorca krajowy dokonujący importu towarów                  z dowolnego obszaru gospodarczego, może określić siebie mianem producenta tegoż towaru                 i umieścić na nim swój znak towarowy, wskazując swój krajowy adres jako miejsce wytworzenia produktu. Umożliwia to czerpanie nieuzasadnionych korzyści z waloru związanego z pochodzeniem towaru, a także rozmywanie bardzo ważnego dla nas wszystkich znaku Marka Polska.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4.3.  W</w:t>
      </w:r>
      <w:r>
        <w:rPr>
          <w:rFonts w:eastAsia="Calibri" w:cs="Calibri"/>
        </w:rPr>
        <w:t xml:space="preserve">sparcie inicjatywy mającej na celu wprowadzenie dyrektywy </w:t>
      </w:r>
      <w:r>
        <w:rPr>
          <w:rFonts w:eastAsia="Calibri" w:cs="Calibri"/>
          <w:b/>
        </w:rPr>
        <w:t>Made in</w:t>
      </w:r>
      <w:r>
        <w:rPr>
          <w:rFonts w:eastAsia="Calibri" w:cs="Calibri"/>
        </w:rPr>
        <w:t>, czyli obowiązku oznakowania produktu wg kraju pochodzenia. To działanie pomogłoby naszym rodzimym firmom lepiej pracować na rzecz wspólnej marki POLSKA – Rynek unijny musi stać się pod tym względem jednolity a towary, jakie nabywa konsument, muszą być oznakowane zgodnie z tym, gdzie faktycznie zostały wyprodukowane.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4.4. Wyeliminowanie pojęcia „Skóra ekologiczna” i zakaz oznaczania w ten sposób jakichkolwiek produktów udających te ze skóry naturalnej. Pojęcie „Skóra” powinno być zarezerwowane tylko           i wyłącznie dla skóry naturalnej.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4.5. Wsparcie eksportu niezależnie od unijnych  programów pomocowych, uproszczenie aplikowania    i realne finansowanie projektów związanych z ekspansją na rynki zagraniczne (indywidualny udział    w targach, wyjazdy grupowe organizowane przez izby branżowe, promocja na rynkach zagranicznych z wykorzystaniem wyspecjalizowanych katalogów i portali internetowych),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4.6. Promocja Marki Polskiej z wykorzystaniem większych funduszy publicznych,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4.7. Ułatwienia podatkowe, jednoznaczne interpretacje podatkowe  w  e-commerce, 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br/>
        <w:t>4.8. Finansowany z budżetu Państwa Samorząd Gospodarczy, edukacja zawodowa w gestii samorządu,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4.9. Uproszczone procedury prawne i  przepisy podatkowe w tym ryczałty dla małych firm rodzinnych,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4.10. Właściwe wykorzystanie potencjału branży w realizowaniu zamówień publicznych ( obuwie specjalistyczne, zdrowotne, ochronne, dla służb mundurowych),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4.11 Wsparcie finansowe procesów konwersji na gospodarkę obiegu zamkniętego z wykorzystaniem niezależnych źródeł energii,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4.12. Wsparcie finansowe na promocję skóry naturalnej jako najbezpieczniejszego i optymalnego        z wielu względów surowca, 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4.13. Finansowanie monitorowania rynku oraz analiz prawnych realizowanych przez izby branżowe                 z budżetu państwa,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  <w:t>4.14. Finansowany z budżetu państwa program na rzecz wzrostu świadomości społecznej, mający na celu bezpieczeństwo i ochronę zdrowia konsumentów na rynku zdominowanym przez importowane produkty niskiej jakości.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>Podmiot publikujący: Polska Izba Przemysłu Skórzanego z siedzibą w Łodzi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924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962"/>
      <w:gridCol w:w="4961"/>
    </w:tblGrid>
    <w:tr>
      <w:trPr/>
      <w:tc>
        <w:tcPr>
          <w:tcW w:w="4962" w:type="dxa"/>
          <w:tcBorders>
            <w:top w:val="nil"/>
            <w:left w:val="nil"/>
            <w:bottom w:val="single" w:sz="8" w:space="0" w:color="93241E"/>
            <w:right w:val="nil"/>
          </w:tcBorders>
        </w:tcPr>
        <w:p>
          <w:pPr>
            <w:pStyle w:val="Gwka"/>
            <w:widowControl/>
            <w:suppressAutoHyphens w:val="true"/>
            <w:spacing w:before="0" w:after="0"/>
            <w:jc w:val="left"/>
            <w:rPr>
              <w:rFonts w:ascii="Calibri" w:hAnsi="Calibri" w:eastAsia="Calibri"/>
            </w:rPr>
          </w:pPr>
          <w:r>
            <w:rPr>
              <w:rFonts w:cs=""/>
              <w:kern w:val="0"/>
              <w:sz w:val="22"/>
              <w:szCs w:val="22"/>
              <w:lang w:val="pl-PL" w:eastAsia="en-US" w:bidi="ar-SA"/>
            </w:rPr>
            <w:drawing>
              <wp:inline distT="0" distB="0" distL="0" distR="0">
                <wp:extent cx="1894840" cy="765175"/>
                <wp:effectExtent l="0" t="0" r="0" b="0"/>
                <wp:docPr id="1" name="Obraz 1" descr="C:\Users\Krzysiek\AppData\Local\Microsoft\Windows\INetCache\Content.Word\logo_pips_byLeo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Krzysiek\AppData\Local\Microsoft\Windows\INetCache\Content.Word\logo_pips_byLeo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single" w:sz="8" w:space="0" w:color="93241E"/>
            <w:right w:val="nil"/>
          </w:tcBorders>
        </w:tcPr>
        <w:p>
          <w:pPr>
            <w:pStyle w:val="Gwka"/>
            <w:widowControl/>
            <w:suppressAutoHyphens w:val="true"/>
            <w:spacing w:before="0" w:after="0"/>
            <w:jc w:val="right"/>
            <w:rPr>
              <w:color w:val="93241E"/>
              <w:sz w:val="20"/>
              <w:szCs w:val="20"/>
            </w:rPr>
          </w:pPr>
          <w:r>
            <w:rPr>
              <w:rFonts w:eastAsia="Calibri" w:cs=""/>
              <w:color w:val="93241E"/>
              <w:kern w:val="0"/>
              <w:sz w:val="20"/>
              <w:szCs w:val="20"/>
              <w:lang w:val="pl-PL" w:eastAsia="en-US" w:bidi="ar-SA"/>
            </w:rPr>
            <w:t>POLSKA IZBA PRZEMYSŁU SKÓRZANEGO</w:t>
          </w:r>
        </w:p>
        <w:p>
          <w:pPr>
            <w:pStyle w:val="Gwka"/>
            <w:widowControl/>
            <w:suppressAutoHyphens w:val="true"/>
            <w:spacing w:before="0" w:after="0"/>
            <w:jc w:val="right"/>
            <w:rPr>
              <w:color w:val="666668"/>
              <w:sz w:val="20"/>
              <w:szCs w:val="20"/>
            </w:rPr>
          </w:pPr>
          <w:r>
            <w:rPr>
              <w:rFonts w:eastAsia="Wingdings" w:cs="Wingdings" w:ascii="Wingdings" w:hAnsi="Wingdings"/>
              <w:color w:val="666668"/>
              <w:kern w:val="0"/>
              <w:sz w:val="20"/>
              <w:szCs w:val="20"/>
              <w:lang w:val="pl-PL" w:eastAsia="en-US" w:bidi="ar-SA"/>
            </w:rPr>
            <w:t></w:t>
          </w:r>
          <w:r>
            <w:rPr>
              <w:rFonts w:eastAsia="Calibri" w:cs=""/>
              <w:color w:val="666668"/>
              <w:kern w:val="0"/>
              <w:sz w:val="20"/>
              <w:szCs w:val="20"/>
              <w:lang w:val="pl-PL" w:eastAsia="en-US" w:bidi="ar-SA"/>
            </w:rPr>
            <w:t xml:space="preserve"> </w:t>
          </w:r>
          <w:r>
            <w:rPr>
              <w:rFonts w:eastAsia="Calibri" w:cs=""/>
              <w:color w:val="666668"/>
              <w:kern w:val="0"/>
              <w:sz w:val="20"/>
              <w:szCs w:val="20"/>
              <w:lang w:val="pl-PL" w:eastAsia="en-US" w:bidi="ar-SA"/>
            </w:rPr>
            <w:t>91-462 Łódź, ul. Zgierska 73</w:t>
          </w:r>
        </w:p>
        <w:p>
          <w:pPr>
            <w:pStyle w:val="Gwka"/>
            <w:widowControl/>
            <w:suppressAutoHyphens w:val="true"/>
            <w:spacing w:before="0" w:after="0"/>
            <w:jc w:val="right"/>
            <w:rPr>
              <w:color w:val="666668"/>
              <w:sz w:val="20"/>
              <w:szCs w:val="20"/>
            </w:rPr>
          </w:pPr>
          <w:r>
            <w:rPr>
              <w:rFonts w:eastAsia="Wingdings 2" w:cs="Wingdings 2" w:ascii="Wingdings 2" w:hAnsi="Wingdings 2"/>
              <w:color w:val="666668"/>
              <w:kern w:val="0"/>
              <w:sz w:val="20"/>
              <w:szCs w:val="20"/>
              <w:lang w:val="pl-PL" w:eastAsia="en-US" w:bidi="ar-SA"/>
            </w:rPr>
            <w:t></w:t>
          </w:r>
          <w:r>
            <w:rPr>
              <w:rFonts w:eastAsia="Calibri" w:cs=""/>
              <w:color w:val="666668"/>
              <w:kern w:val="0"/>
              <w:sz w:val="20"/>
              <w:szCs w:val="20"/>
              <w:lang w:val="pl-PL" w:eastAsia="en-US" w:bidi="ar-SA"/>
            </w:rPr>
            <w:t xml:space="preserve"> </w:t>
          </w:r>
          <w:r>
            <w:rPr>
              <w:rFonts w:eastAsia="Calibri" w:cs=""/>
              <w:color w:val="666668"/>
              <w:kern w:val="0"/>
              <w:sz w:val="20"/>
              <w:szCs w:val="20"/>
              <w:lang w:val="pl-PL" w:eastAsia="en-US" w:bidi="ar-SA"/>
            </w:rPr>
            <w:t>(42) 636 12 21 | fax (42) 636 09 24</w:t>
          </w:r>
        </w:p>
        <w:p>
          <w:pPr>
            <w:pStyle w:val="Gwka"/>
            <w:widowControl/>
            <w:suppressAutoHyphens w:val="true"/>
            <w:spacing w:before="0" w:after="0"/>
            <w:jc w:val="right"/>
            <w:rPr>
              <w:color w:val="666668"/>
              <w:sz w:val="20"/>
              <w:szCs w:val="20"/>
            </w:rPr>
          </w:pPr>
          <w:r>
            <w:rPr>
              <w:rFonts w:eastAsia="Wingdings" w:cs="Wingdings" w:ascii="Wingdings" w:hAnsi="Wingdings"/>
              <w:color w:val="666668"/>
              <w:kern w:val="0"/>
              <w:sz w:val="20"/>
              <w:szCs w:val="20"/>
              <w:lang w:val="pl-PL" w:eastAsia="en-US" w:bidi="ar-SA"/>
            </w:rPr>
            <w:t></w:t>
          </w:r>
          <w:r>
            <w:rPr>
              <w:rFonts w:eastAsia="Calibri" w:cs=""/>
              <w:color w:val="666668"/>
              <w:kern w:val="0"/>
              <w:sz w:val="20"/>
              <w:szCs w:val="20"/>
              <w:lang w:val="pl-PL" w:eastAsia="en-US" w:bidi="ar-SA"/>
            </w:rPr>
            <w:t xml:space="preserve"> </w:t>
          </w:r>
          <w:r>
            <w:rPr>
              <w:rFonts w:eastAsia="Calibri" w:cs=""/>
              <w:color w:val="666668"/>
              <w:kern w:val="0"/>
              <w:sz w:val="20"/>
              <w:szCs w:val="20"/>
              <w:lang w:val="pl-PL" w:eastAsia="en-US" w:bidi="ar-SA"/>
            </w:rPr>
            <w:t>sekretariat@pips.pl | www.pips.pl</w:t>
          </w:r>
        </w:p>
        <w:p>
          <w:pPr>
            <w:pStyle w:val="Gwka"/>
            <w:widowControl/>
            <w:suppressAutoHyphens w:val="true"/>
            <w:spacing w:before="0" w:after="0"/>
            <w:jc w:val="right"/>
            <w:rPr>
              <w:rFonts w:ascii="Calibri" w:hAnsi="Calibri" w:eastAsia="Calibri"/>
            </w:rPr>
          </w:pPr>
          <w:r>
            <w:rPr>
              <w:rFonts w:eastAsia="Calibri" w:cs=""/>
              <w:color w:val="666668"/>
              <w:kern w:val="0"/>
              <w:sz w:val="20"/>
              <w:szCs w:val="20"/>
              <w:lang w:val="pl-PL" w:eastAsia="en-US" w:bidi="ar-SA"/>
            </w:rPr>
            <w:t>NIP: 7250011965</w:t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7a1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d7e5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d7e5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2583b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qFormat/>
    <w:rsid w:val="005c56f5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5c56f5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5c56f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58c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e58c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e58c3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5c56f5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d7e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d7e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58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qFormat/>
    <w:rsid w:val="005c56f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Kropki" w:customStyle="1">
    <w:name w:val="kropki"/>
    <w:basedOn w:val="Normal"/>
    <w:qFormat/>
    <w:rsid w:val="005c56f5"/>
    <w:pPr>
      <w:tabs>
        <w:tab w:val="clear" w:pos="708"/>
        <w:tab w:val="left" w:pos="9072" w:leader="dot"/>
      </w:tabs>
      <w:spacing w:lineRule="auto" w:line="480" w:before="120" w:after="120"/>
      <w:ind w:left="340" w:hanging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Form" w:customStyle="1">
    <w:name w:val="form"/>
    <w:basedOn w:val="BodyText2"/>
    <w:qFormat/>
    <w:rsid w:val="005c56f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right" w:pos="9526" w:leader="dot"/>
      </w:tabs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5c56f5"/>
    <w:pPr>
      <w:spacing w:lineRule="auto" w:line="480" w:before="0" w:after="120"/>
    </w:pPr>
    <w:rPr/>
  </w:style>
  <w:style w:type="paragraph" w:styleId="NoSpacing">
    <w:name w:val="No Spacing"/>
    <w:uiPriority w:val="1"/>
    <w:qFormat/>
    <w:rsid w:val="003944e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21eb3"/>
    <w:pPr>
      <w:spacing w:before="0" w:after="16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e58c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e58c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d7e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LibreOffice/7.1.0.3$Windows_X86_64 LibreOffice_project/f6099ecf3d29644b5008cc8f48f42f4a40986e4c</Application>
  <AppVersion>15.0000</AppVersion>
  <Pages>8</Pages>
  <Words>1830</Words>
  <Characters>10150</Characters>
  <CharactersWithSpaces>13083</CharactersWithSpaces>
  <Paragraphs>501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2021-11-03T08:40:00Z</dcterms:created>
  <dc:creator>Krzysztof Renkas</dc:creator>
  <dc:description/>
  <dc:language>pl-PL</dc:language>
  <cp:lastModifiedBy/>
  <cp:lastPrinted>2021-11-15T12:55:00Z</cp:lastPrinted>
  <dcterms:modified xsi:type="dcterms:W3CDTF">2023-08-28T12:37:42Z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