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A8" w:rsidRDefault="007403A8" w:rsidP="002276E5">
      <w:pPr>
        <w:spacing w:after="0" w:line="240" w:lineRule="auto"/>
        <w:rPr>
          <w:b/>
          <w:sz w:val="28"/>
          <w:szCs w:val="28"/>
        </w:rPr>
      </w:pPr>
      <w:r w:rsidRPr="007403A8">
        <w:rPr>
          <w:b/>
          <w:sz w:val="28"/>
          <w:szCs w:val="28"/>
        </w:rPr>
        <w:drawing>
          <wp:inline distT="0" distB="0" distL="0" distR="0">
            <wp:extent cx="2695575" cy="1136526"/>
            <wp:effectExtent l="0" t="0" r="0" b="6985"/>
            <wp:docPr id="11" name="Obraz 2" descr="Inicjatywa CORNET – zaproszenie na webinar - Narodowe Centrum Badań i  Rozwoj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jatywa CORNET – zaproszenie na webinar - Narodowe Centrum Badań i  Rozwoju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38" cy="11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3A8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6495" cy="1133475"/>
            <wp:effectExtent l="19050" t="0" r="1905" b="0"/>
            <wp:wrapSquare wrapText="bothSides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A97E96" w:rsidRDefault="00A97E96" w:rsidP="002276E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Chromowe odpady garbarskie – problem czy zasób?</w:t>
      </w:r>
    </w:p>
    <w:p w:rsidR="00A97E96" w:rsidRPr="00BB4309" w:rsidRDefault="00A97E96" w:rsidP="002276E5">
      <w:pPr>
        <w:spacing w:after="0" w:line="240" w:lineRule="auto"/>
        <w:rPr>
          <w:b/>
          <w:sz w:val="28"/>
          <w:szCs w:val="28"/>
        </w:rPr>
      </w:pPr>
    </w:p>
    <w:p w:rsidR="00A97E96" w:rsidRPr="00BB4309" w:rsidRDefault="00A97E96" w:rsidP="00BB4309">
      <w:pPr>
        <w:spacing w:after="120"/>
        <w:rPr>
          <w:sz w:val="24"/>
          <w:szCs w:val="24"/>
          <w:vertAlign w:val="superscript"/>
        </w:rPr>
      </w:pPr>
      <w:r w:rsidRPr="00BB4309">
        <w:rPr>
          <w:sz w:val="24"/>
          <w:szCs w:val="24"/>
        </w:rPr>
        <w:t>ANNA KOWALIK-KLIMCZAK</w:t>
      </w:r>
      <w:r w:rsidRPr="00BB4309">
        <w:rPr>
          <w:sz w:val="24"/>
          <w:szCs w:val="24"/>
          <w:vertAlign w:val="superscript"/>
        </w:rPr>
        <w:t>1</w:t>
      </w:r>
      <w:r w:rsidRPr="00BB4309">
        <w:rPr>
          <w:sz w:val="24"/>
          <w:szCs w:val="24"/>
        </w:rPr>
        <w:t>, BOGUSŁAW WOŹNIAK</w:t>
      </w:r>
      <w:r w:rsidRPr="00BB4309">
        <w:rPr>
          <w:sz w:val="24"/>
          <w:szCs w:val="24"/>
          <w:vertAlign w:val="superscript"/>
        </w:rPr>
        <w:t>1</w:t>
      </w:r>
      <w:r w:rsidRPr="00BB4309">
        <w:rPr>
          <w:sz w:val="24"/>
          <w:szCs w:val="24"/>
        </w:rPr>
        <w:t>, MACIEJ ŻYCKI</w:t>
      </w:r>
      <w:r w:rsidRPr="00BB4309">
        <w:rPr>
          <w:sz w:val="24"/>
          <w:szCs w:val="24"/>
          <w:vertAlign w:val="superscript"/>
        </w:rPr>
        <w:t>1</w:t>
      </w:r>
      <w:r w:rsidRPr="00BB4309">
        <w:rPr>
          <w:sz w:val="24"/>
          <w:szCs w:val="24"/>
        </w:rPr>
        <w:t>, MONIKA ŁOŻYŃSKA</w:t>
      </w:r>
      <w:r w:rsidRPr="00BB4309">
        <w:rPr>
          <w:sz w:val="24"/>
          <w:szCs w:val="24"/>
          <w:vertAlign w:val="superscript"/>
        </w:rPr>
        <w:t>1</w:t>
      </w:r>
      <w:r w:rsidRPr="00BB4309">
        <w:rPr>
          <w:sz w:val="24"/>
          <w:szCs w:val="24"/>
        </w:rPr>
        <w:t>, CHRISTIAN SCHADEWELL</w:t>
      </w:r>
      <w:r w:rsidRPr="00BB4309">
        <w:rPr>
          <w:sz w:val="24"/>
          <w:szCs w:val="24"/>
          <w:vertAlign w:val="superscript"/>
        </w:rPr>
        <w:t>2</w:t>
      </w:r>
      <w:r w:rsidRPr="00BB4309">
        <w:rPr>
          <w:sz w:val="24"/>
          <w:szCs w:val="24"/>
        </w:rPr>
        <w:t>, THOMAS FIEHN</w:t>
      </w:r>
      <w:r w:rsidRPr="00BB4309">
        <w:rPr>
          <w:sz w:val="24"/>
          <w:szCs w:val="24"/>
          <w:vertAlign w:val="superscript"/>
        </w:rPr>
        <w:t>2</w:t>
      </w:r>
      <w:r w:rsidRPr="00BB4309">
        <w:rPr>
          <w:sz w:val="24"/>
          <w:szCs w:val="24"/>
        </w:rPr>
        <w:t>, MONIKA FLISEK</w:t>
      </w:r>
      <w:r w:rsidRPr="00BB4309">
        <w:rPr>
          <w:sz w:val="24"/>
          <w:szCs w:val="24"/>
          <w:vertAlign w:val="superscript"/>
        </w:rPr>
        <w:t>3</w:t>
      </w:r>
    </w:p>
    <w:p w:rsidR="00A97E96" w:rsidRPr="00BB4309" w:rsidRDefault="00A97E96" w:rsidP="00BB4309">
      <w:pPr>
        <w:spacing w:after="0" w:line="240" w:lineRule="auto"/>
        <w:jc w:val="both"/>
        <w:rPr>
          <w:i/>
          <w:sz w:val="20"/>
          <w:szCs w:val="20"/>
        </w:rPr>
      </w:pPr>
      <w:r w:rsidRPr="00BB4309">
        <w:rPr>
          <w:i/>
          <w:sz w:val="20"/>
          <w:szCs w:val="20"/>
          <w:vertAlign w:val="superscript"/>
        </w:rPr>
        <w:t>1</w:t>
      </w:r>
      <w:r w:rsidRPr="00BB4309">
        <w:rPr>
          <w:i/>
          <w:sz w:val="20"/>
          <w:szCs w:val="20"/>
        </w:rPr>
        <w:t>Sieć Badawcza Łukasiewicz – Instytut Technologii Eksploatacji, ul. Pułaskiego 6/10, 26-600 Radom, Polska</w:t>
      </w:r>
    </w:p>
    <w:p w:rsidR="00A97E96" w:rsidRPr="00476A47" w:rsidRDefault="00A97E96" w:rsidP="00BB4309">
      <w:pPr>
        <w:spacing w:after="0" w:line="240" w:lineRule="auto"/>
        <w:jc w:val="both"/>
        <w:rPr>
          <w:i/>
          <w:sz w:val="20"/>
          <w:szCs w:val="20"/>
        </w:rPr>
      </w:pPr>
      <w:r w:rsidRPr="00554A4D">
        <w:rPr>
          <w:i/>
          <w:sz w:val="20"/>
          <w:szCs w:val="20"/>
          <w:vertAlign w:val="superscript"/>
        </w:rPr>
        <w:t>2</w:t>
      </w:r>
      <w:r w:rsidRPr="00554A4D">
        <w:rPr>
          <w:i/>
          <w:sz w:val="20"/>
          <w:szCs w:val="20"/>
        </w:rPr>
        <w:t>Pr</w:t>
      </w:r>
      <w:r w:rsidR="00BA4AE1" w:rsidRPr="00554A4D">
        <w:rPr>
          <w:i/>
          <w:sz w:val="20"/>
          <w:szCs w:val="20"/>
        </w:rPr>
        <w:t>ü</w:t>
      </w:r>
      <w:r w:rsidRPr="00554A4D">
        <w:rPr>
          <w:i/>
          <w:sz w:val="20"/>
          <w:szCs w:val="20"/>
        </w:rPr>
        <w:t xml:space="preserve">f- und Forschungsinstitut Pirmasens e.V., ul. </w:t>
      </w:r>
      <w:r w:rsidRPr="00476A47">
        <w:rPr>
          <w:i/>
          <w:sz w:val="20"/>
          <w:szCs w:val="20"/>
        </w:rPr>
        <w:t>Marie-Curie 19, 66953 Pirmasens, Niemcy</w:t>
      </w:r>
    </w:p>
    <w:p w:rsidR="00A97E96" w:rsidRPr="005B63CD" w:rsidRDefault="00A97E96" w:rsidP="00BB4309">
      <w:pPr>
        <w:spacing w:after="0" w:line="240" w:lineRule="auto"/>
        <w:jc w:val="both"/>
        <w:rPr>
          <w:i/>
          <w:sz w:val="20"/>
          <w:szCs w:val="20"/>
        </w:rPr>
      </w:pPr>
      <w:r w:rsidRPr="00BB4309">
        <w:rPr>
          <w:i/>
          <w:sz w:val="20"/>
          <w:szCs w:val="20"/>
          <w:vertAlign w:val="superscript"/>
        </w:rPr>
        <w:t>3</w:t>
      </w:r>
      <w:r w:rsidRPr="00BB4309">
        <w:rPr>
          <w:i/>
          <w:sz w:val="20"/>
          <w:szCs w:val="20"/>
        </w:rPr>
        <w:t xml:space="preserve">Ogólnopolska Izba Branży Skórzanej, ul. W. </w:t>
      </w:r>
      <w:r w:rsidRPr="005B63CD">
        <w:rPr>
          <w:i/>
          <w:sz w:val="20"/>
          <w:szCs w:val="20"/>
        </w:rPr>
        <w:t>Krukowskiego 1, 26-609 Radom, Polska</w:t>
      </w:r>
    </w:p>
    <w:p w:rsidR="00A97E96" w:rsidRPr="005B63CD" w:rsidRDefault="00A97E96" w:rsidP="00BB4309">
      <w:pPr>
        <w:spacing w:after="0" w:line="240" w:lineRule="auto"/>
        <w:jc w:val="both"/>
        <w:rPr>
          <w:b/>
          <w:sz w:val="24"/>
          <w:szCs w:val="24"/>
        </w:rPr>
      </w:pPr>
    </w:p>
    <w:p w:rsidR="00A97E96" w:rsidRPr="007A645C" w:rsidRDefault="00A97E96" w:rsidP="002B67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45C">
        <w:rPr>
          <w:rFonts w:ascii="Times New Roman" w:hAnsi="Times New Roman"/>
          <w:b/>
          <w:sz w:val="24"/>
          <w:szCs w:val="24"/>
        </w:rPr>
        <w:t>Streszczenie</w:t>
      </w:r>
    </w:p>
    <w:p w:rsidR="00A97E96" w:rsidRPr="007A645C" w:rsidRDefault="00A97E96" w:rsidP="002B6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color w:val="000000" w:themeColor="text1"/>
          <w:sz w:val="20"/>
          <w:szCs w:val="20"/>
        </w:rPr>
        <w:t>W pracy przedstawiono wyniki badań dotyczące nowego sposobu zagospodarowania odpadów stałych powstających podczas chromowej wyprawy skór surowych. W pierwszym etapie rozdrobniona mieszanina stałych odpadów garbowanych ulega rozkładowi w procesie hydrolizy termicznej. Następnie ciekły produkt tego procesu jest frakcjonowany przy użyciu procesów separacji membranowej. Zastosowanie układu procesów mikro- i nanofiltracji umożliwia zatężenie chromu do poziomu</w:t>
      </w:r>
      <w:r w:rsidR="00554A4D"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A645C">
        <w:rPr>
          <w:rFonts w:ascii="Times New Roman" w:hAnsi="Times New Roman"/>
          <w:sz w:val="20"/>
          <w:szCs w:val="20"/>
        </w:rPr>
        <w:t>umożliwiającego</w:t>
      </w:r>
      <w:r w:rsidR="00554A4D" w:rsidRPr="007A645C">
        <w:rPr>
          <w:rFonts w:ascii="Times New Roman" w:hAnsi="Times New Roman"/>
          <w:sz w:val="20"/>
          <w:szCs w:val="20"/>
        </w:rPr>
        <w:t xml:space="preserve">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jego ponowne wykorzystanie podczas wyprawy skór surowych.</w:t>
      </w:r>
    </w:p>
    <w:p w:rsidR="00620685" w:rsidRPr="007A645C" w:rsidRDefault="00620685" w:rsidP="002B6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20685" w:rsidRPr="007A645C" w:rsidRDefault="00620685" w:rsidP="006206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b/>
          <w:color w:val="000000" w:themeColor="text1"/>
          <w:sz w:val="20"/>
          <w:szCs w:val="20"/>
        </w:rPr>
        <w:t xml:space="preserve">Słowa kluczowe: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odpady garbarskie, odzysk chromu, gospodarka o obiegu zamkniętym</w:t>
      </w:r>
    </w:p>
    <w:p w:rsidR="00A97E96" w:rsidRPr="007A645C" w:rsidRDefault="00A97E96" w:rsidP="002B67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BD7170" w:rsidRPr="007A645C" w:rsidRDefault="00BD7170" w:rsidP="002B677D">
      <w:pPr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7A645C">
        <w:rPr>
          <w:rFonts w:ascii="Times New Roman" w:hAnsi="Times New Roman"/>
          <w:b/>
          <w:lang w:val="en-GB"/>
        </w:rPr>
        <w:t>Abstract</w:t>
      </w:r>
    </w:p>
    <w:p w:rsidR="009B0C5C" w:rsidRPr="007A645C" w:rsidRDefault="009B0C5C" w:rsidP="009B0C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A645C">
        <w:rPr>
          <w:rFonts w:ascii="Times New Roman" w:hAnsi="Times New Roman"/>
          <w:sz w:val="20"/>
          <w:szCs w:val="20"/>
          <w:lang w:val="en-US"/>
        </w:rPr>
        <w:t>The n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 xml:space="preserve">ew way of utilization of solid </w:t>
      </w:r>
      <w:r w:rsidRPr="007A645C">
        <w:rPr>
          <w:rFonts w:ascii="Times New Roman" w:hAnsi="Times New Roman"/>
          <w:sz w:val="20"/>
          <w:szCs w:val="20"/>
          <w:lang w:val="en-US"/>
        </w:rPr>
        <w:t>waste generated during chromium tanning of leather is showed in the arti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 xml:space="preserve">cle. In the first stage, the </w:t>
      </w:r>
      <w:r w:rsidRPr="007A645C">
        <w:rPr>
          <w:rFonts w:ascii="Times New Roman" w:hAnsi="Times New Roman"/>
          <w:sz w:val="20"/>
          <w:szCs w:val="20"/>
          <w:lang w:val="en-US"/>
        </w:rPr>
        <w:t>mixed solid wastes are treated with therm</w:t>
      </w:r>
      <w:r w:rsidR="00620685" w:rsidRPr="007A645C">
        <w:rPr>
          <w:rFonts w:ascii="Times New Roman" w:hAnsi="Times New Roman"/>
          <w:sz w:val="20"/>
          <w:szCs w:val="20"/>
          <w:lang w:val="en-US"/>
        </w:rPr>
        <w:t>al pressure hydrolysis process.</w:t>
      </w:r>
      <w:r w:rsidRPr="007A645C">
        <w:rPr>
          <w:rFonts w:ascii="Times New Roman" w:hAnsi="Times New Roman"/>
          <w:sz w:val="20"/>
          <w:szCs w:val="20"/>
          <w:lang w:val="en-US"/>
        </w:rPr>
        <w:t xml:space="preserve"> In the next stage, the liq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>ui</w:t>
      </w:r>
      <w:r w:rsidRPr="007A645C">
        <w:rPr>
          <w:rFonts w:ascii="Times New Roman" w:hAnsi="Times New Roman"/>
          <w:sz w:val="20"/>
          <w:szCs w:val="20"/>
          <w:lang w:val="en-US"/>
        </w:rPr>
        <w:t>d phase is separated with membrane process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>es</w:t>
      </w:r>
      <w:r w:rsidRPr="007A645C">
        <w:rPr>
          <w:rFonts w:ascii="Times New Roman" w:hAnsi="Times New Roman"/>
          <w:sz w:val="20"/>
          <w:szCs w:val="20"/>
          <w:lang w:val="en-US"/>
        </w:rPr>
        <w:t xml:space="preserve">. The 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>combination of micro- and nano</w:t>
      </w:r>
      <w:r w:rsidRPr="007A645C">
        <w:rPr>
          <w:rFonts w:ascii="Times New Roman" w:hAnsi="Times New Roman"/>
          <w:sz w:val="20"/>
          <w:szCs w:val="20"/>
          <w:lang w:val="en-US"/>
        </w:rPr>
        <w:t>filtration leads to obtaining chromium concentration, acceptable to re-</w:t>
      </w:r>
      <w:r w:rsidR="00BA4AE1" w:rsidRPr="007A645C">
        <w:rPr>
          <w:rFonts w:ascii="Times New Roman" w:hAnsi="Times New Roman"/>
          <w:sz w:val="20"/>
          <w:szCs w:val="20"/>
          <w:lang w:val="en-US"/>
        </w:rPr>
        <w:t>using in the raw hides tanning.</w:t>
      </w:r>
    </w:p>
    <w:p w:rsidR="00BD7170" w:rsidRPr="007A645C" w:rsidRDefault="00BD7170" w:rsidP="002B67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BD7170" w:rsidRPr="007A645C" w:rsidRDefault="00BD7170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A645C">
        <w:rPr>
          <w:rFonts w:ascii="Times New Roman" w:hAnsi="Times New Roman"/>
          <w:b/>
          <w:sz w:val="20"/>
          <w:szCs w:val="20"/>
          <w:lang w:val="en-US"/>
        </w:rPr>
        <w:t xml:space="preserve">Key words: </w:t>
      </w:r>
      <w:r w:rsidRPr="007A645C">
        <w:rPr>
          <w:rFonts w:ascii="Times New Roman" w:hAnsi="Times New Roman"/>
          <w:sz w:val="20"/>
          <w:szCs w:val="20"/>
          <w:lang w:val="en-US"/>
        </w:rPr>
        <w:t>chromium recovery, tannery waste, circular economy</w:t>
      </w:r>
    </w:p>
    <w:p w:rsidR="0031139F" w:rsidRPr="007A645C" w:rsidRDefault="0031139F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97E96" w:rsidRPr="007A645C" w:rsidRDefault="00A97E96" w:rsidP="002B677D">
      <w:pPr>
        <w:spacing w:after="0" w:line="240" w:lineRule="auto"/>
        <w:jc w:val="both"/>
        <w:rPr>
          <w:rFonts w:ascii="Times New Roman" w:hAnsi="Times New Roman"/>
          <w:b/>
        </w:rPr>
      </w:pPr>
      <w:r w:rsidRPr="007A645C">
        <w:rPr>
          <w:rFonts w:ascii="Times New Roman" w:hAnsi="Times New Roman"/>
          <w:b/>
        </w:rPr>
        <w:t>Wprowadzenie</w:t>
      </w:r>
    </w:p>
    <w:p w:rsidR="00A97E96" w:rsidRPr="007A645C" w:rsidRDefault="00A97E96" w:rsidP="002B677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45C">
        <w:rPr>
          <w:rFonts w:ascii="Times New Roman" w:hAnsi="Times New Roman"/>
          <w:sz w:val="20"/>
          <w:szCs w:val="20"/>
        </w:rPr>
        <w:t xml:space="preserve">Skóra zwierzęca stanowi uciążliwy odpad pochodzący z przemysłu mięsnego, który dzięki zastosowaniu odpowiednich operacji garbarskich jest przetwarzany w produkt użyteczny, służący do produkcji obuwia, odzieży, mebli i tapicerek samochodowych [1]. Niestety proces produkcji skór wyprawionych jest związany z generowaniem znacznych ilości odpadów. Przyjmuje się, że z 1 tony skór surowych powstaje ok. </w:t>
      </w:r>
      <w:smartTag w:uri="urn:schemas-microsoft-com:office:smarttags" w:element="metricconverter">
        <w:smartTagPr>
          <w:attr w:name="ProductID" w:val="300 kg"/>
        </w:smartTagPr>
        <w:r w:rsidRPr="007A645C">
          <w:rPr>
            <w:rFonts w:ascii="Times New Roman" w:hAnsi="Times New Roman"/>
            <w:sz w:val="20"/>
            <w:szCs w:val="20"/>
          </w:rPr>
          <w:t>300 kg</w:t>
        </w:r>
      </w:smartTag>
      <w:r w:rsidRPr="007A645C">
        <w:rPr>
          <w:rFonts w:ascii="Times New Roman" w:hAnsi="Times New Roman"/>
          <w:sz w:val="20"/>
          <w:szCs w:val="20"/>
        </w:rPr>
        <w:t xml:space="preserve"> skór wyprawionych, a pozostałe ok. 70% masy początkowej stanowią odpady poprodukcyjne, głównie w postaci stałej. Odpady te można podzielić na dwa rodzaje: niegarbowane i garbowane. Utylizacja odpadów niegarbowanych nie stanowi problemu, ponieważ służą one jako surowiec podczas produkcji m.in. żelatyny, klejów, składników pasz i nawozów [2].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E96" w:rsidRPr="007A645C" w:rsidRDefault="00A97E96" w:rsidP="002276E5">
      <w:pPr>
        <w:spacing w:before="120" w:after="120" w:line="240" w:lineRule="auto"/>
        <w:jc w:val="both"/>
        <w:rPr>
          <w:rFonts w:ascii="Times New Roman" w:hAnsi="Times New Roman"/>
          <w:b/>
          <w:bCs/>
        </w:rPr>
      </w:pPr>
      <w:r w:rsidRPr="007A645C">
        <w:rPr>
          <w:rFonts w:ascii="Times New Roman" w:hAnsi="Times New Roman"/>
          <w:b/>
          <w:bCs/>
        </w:rPr>
        <w:t>Problematyczne chromowe odpady garbarskie</w:t>
      </w:r>
    </w:p>
    <w:p w:rsidR="00A97E96" w:rsidRPr="007A645C" w:rsidRDefault="00A97E96" w:rsidP="007A64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Bezpieczne zagospodarowanie odpadów garbarskich, które w swoim składzie zawierają związki chromu nadal jest wyzwaniem dla technologów i inżynierów. W związku z tym liczne jednostki B+R prowadzą intensywne prace nad opracowaniem efektywnego sposobu zagospodarowania tego typu odpadów. Jedną z najbardziej obiecujących technologii zagospodarowania chromowych odpadów garbarskich jest metoda wykorzystująca katalizator przeniesienia międzyfazowego. Umożliwia ona odzysk chromu(III) w postaci związków nieorganicznych, które mogą być bezpośrednio wykorzystane podczas chromowej wyprawy skór surowych. Natomiast produkty uboczne tych procesów, w postaci pozostałości stanowiących np. kolagen, mogą być wykorzystane jako składnik do produkcji żelatyny technicznej, bądź też stanowić składnik nawozów organicznych lub biopolimerów [3]. Jednak metoda ta wiąże się z koniecznością poniesienia wysokich kosztów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lastRenderedPageBreak/>
        <w:t>inwestycyjnych i w związku z tym nie została do tej pory skomercjalizowana. Alternatywnym podejściem zagospodarowania chromowych odpadów garbarskich jest ich termiczne unieszkodliwianie, które umożliwia odzysk energii z jednoczesnym zmniejszeniem ich objętości. Jednak wadą tej</w:t>
      </w:r>
      <w:r w:rsidR="00554A4D"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A645C">
        <w:rPr>
          <w:rFonts w:ascii="Times New Roman" w:hAnsi="Times New Roman"/>
          <w:sz w:val="20"/>
          <w:szCs w:val="20"/>
        </w:rPr>
        <w:t xml:space="preserve">metody jest wydzielanie się rakotwórczych związków chromu [3].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Dopiero zastosowanie pieca tunelowego, w odpowiednio dobranych warunkach procesowych, umożliwia ograniczenie emisji niebezpiecznych gazów odlotowych oraz odzysk chromu, który potencjalnie może zostać ponownie wykorzystany [4</w:t>
      </w:r>
      <w:r w:rsidR="003726BD" w:rsidRPr="007A645C">
        <w:rPr>
          <w:rFonts w:ascii="Times New Roman" w:hAnsi="Times New Roman"/>
          <w:color w:val="000000" w:themeColor="text1"/>
          <w:sz w:val="20"/>
          <w:szCs w:val="20"/>
        </w:rPr>
        <w:t>,5</w:t>
      </w:r>
      <w:bookmarkStart w:id="0" w:name="_GoBack"/>
      <w:bookmarkEnd w:id="0"/>
      <w:r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]. W ostatnim czasie opracowana została także metoda granulacji talerzowej odpadów garbarskich, której wdrożenie do praktyki przemysłowej mogłoby przyczynić się do ograniczenia kosztów składowania, utylizacji i transportu odpadów. Jednak jej efektywność została potwierdzona tylko dla </w:t>
      </w:r>
      <w:r w:rsidR="003726BD" w:rsidRPr="007A645C">
        <w:rPr>
          <w:rFonts w:ascii="Times New Roman" w:hAnsi="Times New Roman"/>
          <w:color w:val="000000" w:themeColor="text1"/>
          <w:sz w:val="20"/>
          <w:szCs w:val="20"/>
        </w:rPr>
        <w:t>odpadów w postaci strużyn [6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]. W związku z tym nadal najczęściej stosowaną metodą zagospodarowania odpadów garbarskich jest ich składowanie, co wiąże się z niebezpieczeństwem przedostawania się rakotwórczych i kancerogennych form chromu(VI) do środowiska. Z tego względu konieczne jest podejmowanie kolejnych inicjatyw, w obszarze recyklingu materiałowego, mających na celu opracowanie efektywnej metody zagospodarowania chromowych odpadów garbarskich.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E96" w:rsidRPr="007A645C" w:rsidRDefault="00A97E96" w:rsidP="009007D7">
      <w:pPr>
        <w:spacing w:before="240" w:line="240" w:lineRule="auto"/>
        <w:jc w:val="both"/>
        <w:rPr>
          <w:rFonts w:ascii="Times New Roman" w:hAnsi="Times New Roman"/>
          <w:b/>
        </w:rPr>
      </w:pPr>
      <w:r w:rsidRPr="007A645C">
        <w:rPr>
          <w:rFonts w:ascii="Times New Roman" w:hAnsi="Times New Roman"/>
          <w:b/>
        </w:rPr>
        <w:t>Innowacyjne rozwiązanie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Prace nad opracowaniem nowego sposobu zagospodarowania odpadów chromowych, powstających w przemyśle garbarskim, podjęto w ramach projektu „Innowacyjna technologia waloryzacji chromowych odpadów garbarskich oparta na ekstrakcji białek, odzysku chromu i produkcji biogazu” (akronim: </w:t>
      </w:r>
      <w:r w:rsidRPr="007A645C">
        <w:rPr>
          <w:rFonts w:ascii="Times New Roman" w:hAnsi="Times New Roman"/>
          <w:i/>
          <w:iCs/>
          <w:color w:val="000000" w:themeColor="text1"/>
          <w:sz w:val="20"/>
          <w:szCs w:val="20"/>
        </w:rPr>
        <w:t>LeatherProBio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), który realizowany jest w kon</w:t>
      </w:r>
      <w:r w:rsidR="00620685" w:rsidRPr="007A645C">
        <w:rPr>
          <w:rFonts w:ascii="Times New Roman" w:hAnsi="Times New Roman"/>
          <w:color w:val="000000" w:themeColor="text1"/>
          <w:sz w:val="20"/>
          <w:szCs w:val="20"/>
        </w:rPr>
        <w:t>sorcjum, w skład którego wchodzą:</w:t>
      </w:r>
      <w:r w:rsidR="00554A4D"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Pr</w:t>
      </w:r>
      <w:r w:rsidR="00620685" w:rsidRPr="007A645C">
        <w:rPr>
          <w:rFonts w:ascii="Times New Roman" w:hAnsi="Times New Roman"/>
          <w:sz w:val="20"/>
          <w:szCs w:val="20"/>
          <w:shd w:val="clear" w:color="auto" w:fill="FFFFFF"/>
        </w:rPr>
        <w:t>ü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f- und Forschungsinstitut Pirmasens e.V., Ogólnopolska Izba Branży Skórzanej i Sieć Badawcza Łukasiewicz – Instytut Technologii Eksploatacji w Radomiu. Opracowywana koncepcja technologii utylizacji chromowych odpadów garbarskich zakłada wykorzystanie zintegrowanego układu procesu</w:t>
      </w:r>
      <w:r w:rsidRPr="007A645C">
        <w:rPr>
          <w:rFonts w:ascii="Times New Roman" w:hAnsi="Times New Roman"/>
          <w:sz w:val="20"/>
          <w:szCs w:val="20"/>
        </w:rPr>
        <w:t xml:space="preserve"> hydrolizy termicznej i technik filtracji membranowej do odzysku związków chromu oraz zagospodarowanie oddzielonej materii organicznej podczas fermentacji beztlenowej (Rys. 1).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E96" w:rsidRPr="007A645C" w:rsidRDefault="0084727E" w:rsidP="00F503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645C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5271952" cy="2028825"/>
            <wp:effectExtent l="19050" t="0" r="4898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84" cy="203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96" w:rsidRPr="007A645C" w:rsidRDefault="00A97E96" w:rsidP="002B2E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45C">
        <w:rPr>
          <w:rFonts w:ascii="Times New Roman" w:hAnsi="Times New Roman"/>
          <w:b/>
          <w:sz w:val="20"/>
          <w:szCs w:val="20"/>
        </w:rPr>
        <w:t>Rys. 1. Koncepcja wykorzystania zintegrowanego układu hydroliza termiczna/procesy membranowe do waloryzacji chromowych odpadów garbarskich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sz w:val="20"/>
          <w:szCs w:val="20"/>
        </w:rPr>
        <w:t>W pierwszym etapie rozdrobniona mieszanina nieużytecznych skrawków skór (cyplowin, strużyn, pyłu szlifierskiego) po garbowaniu chromowym ulega rozkładowi w procesie termicznej hydrolizy z wykorzystaniem odpowiednich warunków procesowych (kwas azotowy(V), temperatura 160</w:t>
      </w:r>
      <w:r w:rsidRPr="007A645C">
        <w:rPr>
          <w:rFonts w:ascii="Times New Roman" w:hAnsi="Times New Roman"/>
          <w:sz w:val="20"/>
          <w:szCs w:val="20"/>
        </w:rPr>
        <w:sym w:font="Symbol" w:char="F0B0"/>
      </w:r>
      <w:r w:rsidRPr="007A645C">
        <w:rPr>
          <w:rFonts w:ascii="Times New Roman" w:hAnsi="Times New Roman"/>
          <w:sz w:val="20"/>
          <w:szCs w:val="20"/>
        </w:rPr>
        <w:t>C, czas 60 min</w:t>
      </w:r>
      <w:r w:rsidR="008214C4" w:rsidRPr="007A645C">
        <w:rPr>
          <w:rFonts w:ascii="Times New Roman" w:hAnsi="Times New Roman"/>
          <w:sz w:val="20"/>
          <w:szCs w:val="20"/>
        </w:rPr>
        <w:t>ut</w:t>
      </w:r>
      <w:r w:rsidRPr="007A645C">
        <w:rPr>
          <w:rFonts w:ascii="Times New Roman" w:hAnsi="Times New Roman"/>
          <w:sz w:val="20"/>
          <w:szCs w:val="20"/>
        </w:rPr>
        <w:t xml:space="preserve">). Następnie ciekły produkt tego procesu – tzw. hydrolizat, którego skład przedstawiono w Tabeli 1, jest frakcjonowany przy użyciu technik separacji membranowej. Proces mikrofiltracji umożliwia wstępne oczyszczenie hydrolizatu poprzez 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koncentrację materii organicznej (tłuszcze, białka) do poziomu potencjalnej możliwości wykorzystania energetycznego. Z kolei proces nanofiltracji umożliwia osiągnięcie retencji chromu ogólnego na poziomie 99%, a tym samym 3-krotne zatężenie chromu ogólnego we wstępnie oczyszczonym hydrolizacie, umożliwiające jego ponowne wykorzystanie podczas garbowania skór.</w:t>
      </w:r>
    </w:p>
    <w:p w:rsidR="00A97E96" w:rsidRPr="007A645C" w:rsidRDefault="00A97E96" w:rsidP="009007D7">
      <w:pPr>
        <w:rPr>
          <w:rFonts w:ascii="Times New Roman" w:hAnsi="Times New Roman"/>
          <w:sz w:val="20"/>
          <w:szCs w:val="20"/>
        </w:rPr>
      </w:pPr>
    </w:p>
    <w:p w:rsidR="00A97E96" w:rsidRPr="007A645C" w:rsidRDefault="00A97E96" w:rsidP="00CC3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A645C">
        <w:rPr>
          <w:rFonts w:ascii="Times New Roman" w:hAnsi="Times New Roman"/>
          <w:b/>
          <w:sz w:val="20"/>
          <w:szCs w:val="20"/>
        </w:rPr>
        <w:t>Tabela 1. Parametry fizyko-chemiczne cieczy powstałej po kwasowej hydrolizie chromowych odpadów garbarskich</w:t>
      </w:r>
    </w:p>
    <w:tbl>
      <w:tblPr>
        <w:tblW w:w="8954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4985"/>
        <w:gridCol w:w="3969"/>
      </w:tblGrid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Parametr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Wartość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pH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2,515 ± 0,004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Przewodność [mS/cm]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26,89 ± 0,02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Chrom ogólny [g/dm</w:t>
            </w:r>
            <w:r w:rsidRPr="007A645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3,00 ± 0,01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Chemiczne zapotrzebowanie tlenu [g O</w:t>
            </w:r>
            <w:r w:rsidRPr="007A645C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/dm</w:t>
            </w:r>
            <w:r w:rsidRPr="007A645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115,4 ± 5,7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Ogólny węgiel organiczny [g/dm</w:t>
            </w:r>
            <w:r w:rsidRPr="007A645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29,11 ± 0,27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Całkowity azot związany [g/dm</w:t>
            </w:r>
            <w:r w:rsidRPr="007A645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19,31 ± 0,23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Sucha masa [%]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10,15 ± 0,01</w:t>
            </w:r>
          </w:p>
        </w:tc>
      </w:tr>
      <w:tr w:rsidR="00A97E96" w:rsidRPr="007A645C" w:rsidTr="0084727E">
        <w:trPr>
          <w:trHeight w:val="20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Sucha masa organiczna [% suchej masy]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645C">
              <w:rPr>
                <w:rFonts w:ascii="Times New Roman" w:hAnsi="Times New Roman"/>
                <w:bCs/>
                <w:sz w:val="20"/>
                <w:szCs w:val="20"/>
              </w:rPr>
              <w:t>14,29 ± 0,21</w:t>
            </w:r>
          </w:p>
        </w:tc>
      </w:tr>
    </w:tbl>
    <w:p w:rsidR="00A97E96" w:rsidRPr="007A645C" w:rsidRDefault="00A97E96" w:rsidP="009007D7">
      <w:pPr>
        <w:rPr>
          <w:rFonts w:ascii="Times New Roman" w:hAnsi="Times New Roman"/>
          <w:bCs/>
          <w:sz w:val="20"/>
          <w:szCs w:val="20"/>
        </w:rPr>
      </w:pPr>
    </w:p>
    <w:p w:rsidR="00A97E96" w:rsidRPr="007403A8" w:rsidRDefault="00A97E96" w:rsidP="009007D7">
      <w:pPr>
        <w:spacing w:before="240" w:line="240" w:lineRule="auto"/>
        <w:jc w:val="both"/>
        <w:rPr>
          <w:rFonts w:ascii="Times New Roman" w:hAnsi="Times New Roman"/>
          <w:b/>
        </w:rPr>
      </w:pPr>
      <w:r w:rsidRPr="007403A8">
        <w:rPr>
          <w:rFonts w:ascii="Times New Roman" w:hAnsi="Times New Roman"/>
          <w:b/>
        </w:rPr>
        <w:t>Ponowne wykorzystanie chromu odzyskanego z odpadów garbarskich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45C">
        <w:rPr>
          <w:rFonts w:ascii="Times New Roman" w:hAnsi="Times New Roman"/>
          <w:sz w:val="20"/>
          <w:szCs w:val="20"/>
        </w:rPr>
        <w:t xml:space="preserve">Koncentrat po procesie nanofiltracji cieczy, uzyskanych w wyniku hydrolizy chromowych odpadów stałych, wstępnie oczyszczonych w procesie mikrofiltracji został z powodzeniem wykorzystany podczas modelowych procesów garbowania. Zostały one przeprowadzone z wykorzystaniem skóry bydlęcej po operacji piklowania oraz mieszaniny komercyjnego garbnika chromowego i koncentratu po procesie nanofiltracji. Próbkę odniesienia stanowiła skóra bydlęca wyprawiona w sposób tradycyjny z wykorzystaniem komercyjnego garbnika chromowego. W wyniku przeprowadzonych procesów uzyskano dwie próbki skóry w postaci półproduktów (skóra </w:t>
      </w:r>
      <w:r w:rsidRPr="007A645C">
        <w:rPr>
          <w:rFonts w:ascii="Times New Roman" w:hAnsi="Times New Roman"/>
          <w:i/>
          <w:iCs/>
          <w:sz w:val="20"/>
          <w:szCs w:val="20"/>
        </w:rPr>
        <w:t>crust</w:t>
      </w:r>
      <w:r w:rsidRPr="007A645C">
        <w:rPr>
          <w:rFonts w:ascii="Times New Roman" w:hAnsi="Times New Roman"/>
          <w:sz w:val="20"/>
          <w:szCs w:val="20"/>
        </w:rPr>
        <w:t>), nieznacznie różniące się kolorem, które następnie</w:t>
      </w:r>
      <w:r w:rsidR="00554A4D" w:rsidRPr="007A645C">
        <w:rPr>
          <w:rFonts w:ascii="Times New Roman" w:hAnsi="Times New Roman"/>
          <w:sz w:val="20"/>
          <w:szCs w:val="20"/>
        </w:rPr>
        <w:t xml:space="preserve"> </w:t>
      </w:r>
      <w:r w:rsidRPr="007A645C">
        <w:rPr>
          <w:rFonts w:ascii="Times New Roman" w:hAnsi="Times New Roman"/>
          <w:sz w:val="20"/>
          <w:szCs w:val="20"/>
        </w:rPr>
        <w:t>wykończono na potrzeby obuwnicze. Na podstawie wyników badań fizycznych (grubość, wytrzymałość na rozciąganie, wydłużenie) i chemicznych (oznaczenie zawartości chromu ogólnego) stwierdzono, że właściwości skór wyprawionych z użyciem chromu odzyskanego z odpadów są zbliżone do właściwości skór wygarbowanych tradycyjnie z użyciem komercyjnie dostępnego garbnika chromowego (Tabela 2).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pl-PL"/>
        </w:rPr>
      </w:pPr>
    </w:p>
    <w:p w:rsidR="00A97E96" w:rsidRPr="007A645C" w:rsidRDefault="00A97E96" w:rsidP="00CC3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A645C">
        <w:rPr>
          <w:rFonts w:ascii="Times New Roman" w:hAnsi="Times New Roman"/>
          <w:b/>
          <w:sz w:val="20"/>
          <w:szCs w:val="20"/>
        </w:rPr>
        <w:t>Tabela 2. Parametry fizyko-chemiczne skór wygarbowanych z użyciem chromu odzyskanego z odpadów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45"/>
        <w:gridCol w:w="2268"/>
        <w:gridCol w:w="1559"/>
      </w:tblGrid>
      <w:tr w:rsidR="00A97E96" w:rsidRPr="007A645C" w:rsidTr="00620685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Nr normy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Wartość</w:t>
            </w:r>
          </w:p>
        </w:tc>
      </w:tr>
      <w:tr w:rsidR="00A97E96" w:rsidRPr="007A645C" w:rsidTr="00620685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Grubość [mm]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PN-EN ISO 20344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1,4</w:t>
            </w:r>
          </w:p>
        </w:tc>
      </w:tr>
      <w:tr w:rsidR="00A97E96" w:rsidRPr="007A645C" w:rsidTr="00620685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Wytrzymałość na rozciąganie [N/mm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PN-EN ISO 3376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17,2</w:t>
            </w:r>
          </w:p>
        </w:tc>
      </w:tr>
      <w:tr w:rsidR="00A97E96" w:rsidRPr="007A645C" w:rsidTr="00620685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Wydłużenie [%]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PN-EN ISO 3376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45</w:t>
            </w:r>
          </w:p>
        </w:tc>
      </w:tr>
      <w:tr w:rsidR="00A97E96" w:rsidRPr="007A645C" w:rsidTr="00620685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Zawartość chromu(III) w przeliczeniu na Cr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eastAsia="pl-PL"/>
              </w:rPr>
              <w:t>2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O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eastAsia="pl-PL"/>
              </w:rPr>
              <w:t>3</w:t>
            </w: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PN-EN ISO 5398-1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7E96" w:rsidRPr="007A645C" w:rsidRDefault="00A97E96" w:rsidP="007C4B5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7A645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4,0</w:t>
            </w:r>
          </w:p>
        </w:tc>
      </w:tr>
    </w:tbl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E96" w:rsidRPr="007403A8" w:rsidRDefault="00A97E96" w:rsidP="002276E5">
      <w:pPr>
        <w:spacing w:before="240" w:line="240" w:lineRule="auto"/>
        <w:jc w:val="both"/>
        <w:rPr>
          <w:rFonts w:ascii="Times New Roman" w:hAnsi="Times New Roman"/>
          <w:b/>
        </w:rPr>
      </w:pPr>
      <w:r w:rsidRPr="007403A8">
        <w:rPr>
          <w:rFonts w:ascii="Times New Roman" w:hAnsi="Times New Roman"/>
          <w:b/>
        </w:rPr>
        <w:t>Podsumowanie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color w:val="000000" w:themeColor="text1"/>
          <w:sz w:val="20"/>
          <w:szCs w:val="20"/>
        </w:rPr>
        <w:t>W wyniku zrealizowanych prac badawczych stwierdzono, że zastosowanie zintegrowanego układu, składającego się z procesu hydrolizy termicznej i technik filtracji membranowej do utylizacji uciążliwych odpadów garbarskich umożliwia odzyskanie koncentratu chromu, który może zostać ponownie wykorzystany w produkcji skór. Wdrożenie proponowanego rozwiązania technologicznego może pomóc polskim przedsiębiorcom przemysłu garbarskiego w sprostaniu coraz większym restrykcjom, dotyczącym ochrony środowiska naturalnego.</w:t>
      </w:r>
    </w:p>
    <w:p w:rsidR="00842533" w:rsidRPr="007A645C" w:rsidRDefault="00842533" w:rsidP="002276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7E96" w:rsidRPr="007403A8" w:rsidRDefault="00A97E96" w:rsidP="00254083">
      <w:pPr>
        <w:spacing w:line="240" w:lineRule="auto"/>
        <w:jc w:val="both"/>
        <w:rPr>
          <w:rFonts w:ascii="Times New Roman" w:hAnsi="Times New Roman"/>
          <w:b/>
        </w:rPr>
      </w:pPr>
      <w:r w:rsidRPr="007403A8">
        <w:rPr>
          <w:rFonts w:ascii="Times New Roman" w:hAnsi="Times New Roman"/>
          <w:b/>
        </w:rPr>
        <w:t>Podziękowania</w:t>
      </w:r>
    </w:p>
    <w:p w:rsidR="00A97E96" w:rsidRPr="007A645C" w:rsidRDefault="00A97E96" w:rsidP="002540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A645C">
        <w:rPr>
          <w:rFonts w:ascii="Times New Roman" w:hAnsi="Times New Roman"/>
          <w:color w:val="000000" w:themeColor="text1"/>
          <w:sz w:val="20"/>
          <w:szCs w:val="20"/>
        </w:rPr>
        <w:t xml:space="preserve">Praca powstała w wyniku realizacji projektu „Innowacyjna technologia waloryzacji chromowych odpadów garbarskich oparta na ekstrakcji białek, odzysku chromu i produkcji biogazu” (akronim: </w:t>
      </w:r>
      <w:r w:rsidRPr="007A645C">
        <w:rPr>
          <w:rFonts w:ascii="Times New Roman" w:hAnsi="Times New Roman"/>
          <w:i/>
          <w:iCs/>
          <w:color w:val="000000" w:themeColor="text1"/>
          <w:sz w:val="20"/>
          <w:szCs w:val="20"/>
        </w:rPr>
        <w:t>LeatherProBio</w:t>
      </w:r>
      <w:r w:rsidRPr="007A645C">
        <w:rPr>
          <w:rFonts w:ascii="Times New Roman" w:hAnsi="Times New Roman"/>
          <w:color w:val="000000" w:themeColor="text1"/>
          <w:sz w:val="20"/>
          <w:szCs w:val="20"/>
        </w:rPr>
        <w:t>; 2020-2021), dofinansowanego przez Narodowego Centrum Badań i Rozwoju w ramach Inicjatywy Cornet (Umowa nr CORNET/27/1/2019).</w:t>
      </w:r>
    </w:p>
    <w:p w:rsidR="00A97E96" w:rsidRPr="007A645C" w:rsidRDefault="00A97E96" w:rsidP="002276E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20685" w:rsidRPr="007403A8" w:rsidRDefault="00620685" w:rsidP="00620685">
      <w:pPr>
        <w:spacing w:line="240" w:lineRule="auto"/>
        <w:jc w:val="both"/>
        <w:rPr>
          <w:rFonts w:ascii="Times New Roman" w:hAnsi="Times New Roman"/>
          <w:b/>
        </w:rPr>
      </w:pPr>
      <w:r w:rsidRPr="007403A8">
        <w:rPr>
          <w:rFonts w:ascii="Times New Roman" w:hAnsi="Times New Roman"/>
          <w:b/>
        </w:rPr>
        <w:t>Informacje o uczestnikach konsorcjum realizującego projekt:</w:t>
      </w:r>
    </w:p>
    <w:p w:rsidR="00620685" w:rsidRPr="007403A8" w:rsidRDefault="00620685" w:rsidP="00620685">
      <w:pPr>
        <w:spacing w:line="240" w:lineRule="auto"/>
        <w:jc w:val="both"/>
        <w:rPr>
          <w:rFonts w:ascii="Times New Roman" w:hAnsi="Times New Roman"/>
          <w:b/>
        </w:rPr>
      </w:pPr>
      <w:r w:rsidRPr="007403A8">
        <w:rPr>
          <w:rFonts w:ascii="Times New Roman" w:hAnsi="Times New Roman"/>
          <w:b/>
        </w:rPr>
        <w:t>1. Sieć Badawcza Łukasiewicz - Ins</w:t>
      </w:r>
      <w:r w:rsidR="00BA4AE1" w:rsidRPr="007403A8">
        <w:rPr>
          <w:rFonts w:ascii="Times New Roman" w:hAnsi="Times New Roman"/>
          <w:b/>
        </w:rPr>
        <w:t>tytut Technologii Eksploatacji</w:t>
      </w:r>
    </w:p>
    <w:p w:rsidR="00EE0D6B" w:rsidRPr="007A645C" w:rsidRDefault="00F360A2" w:rsidP="00620685">
      <w:pPr>
        <w:spacing w:after="0" w:line="240" w:lineRule="auto"/>
        <w:jc w:val="both"/>
        <w:rPr>
          <w:rStyle w:val="markedcontent"/>
          <w:rFonts w:ascii="Times New Roman" w:hAnsi="Times New Roman"/>
          <w:i/>
          <w:iCs/>
          <w:sz w:val="20"/>
          <w:szCs w:val="20"/>
        </w:rPr>
      </w:pPr>
      <w:r w:rsidRPr="007A645C">
        <w:rPr>
          <w:rStyle w:val="markedcontent"/>
          <w:rFonts w:ascii="Times New Roman" w:hAnsi="Times New Roman"/>
          <w:i/>
          <w:iCs/>
          <w:sz w:val="20"/>
          <w:szCs w:val="20"/>
        </w:rPr>
        <w:t xml:space="preserve">Instytut Technologii Eksploatacji, wraz z 32 innymi Instytutami w Polsce, tworzy </w:t>
      </w:r>
      <w:r w:rsidR="00EE0D6B" w:rsidRPr="007A645C">
        <w:rPr>
          <w:rStyle w:val="markedcontent"/>
          <w:rFonts w:ascii="Times New Roman" w:hAnsi="Times New Roman"/>
          <w:i/>
          <w:iCs/>
          <w:sz w:val="20"/>
          <w:szCs w:val="20"/>
        </w:rPr>
        <w:t>Sieć Badawczą Łukasiewicz.</w:t>
      </w:r>
    </w:p>
    <w:p w:rsidR="00620685" w:rsidRPr="007A645C" w:rsidRDefault="00620685" w:rsidP="007D32DD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A645C">
        <w:rPr>
          <w:rStyle w:val="markedcontent"/>
          <w:rFonts w:ascii="Times New Roman" w:hAnsi="Times New Roman"/>
          <w:i/>
          <w:iCs/>
          <w:sz w:val="20"/>
          <w:szCs w:val="20"/>
        </w:rPr>
        <w:t xml:space="preserve">Sieć Badawcza Łukasiewicz to trzecia pod względem wielkości sieć </w:t>
      </w:r>
      <w:r w:rsidR="00521E77">
        <w:rPr>
          <w:rStyle w:val="markedcontent"/>
          <w:rFonts w:ascii="Times New Roman" w:hAnsi="Times New Roman"/>
          <w:i/>
          <w:iCs/>
          <w:sz w:val="20"/>
          <w:szCs w:val="20"/>
        </w:rPr>
        <w:t xml:space="preserve"> </w:t>
      </w:r>
      <w:r w:rsidRPr="007A645C">
        <w:rPr>
          <w:rStyle w:val="markedcontent"/>
          <w:rFonts w:ascii="Times New Roman" w:hAnsi="Times New Roman"/>
          <w:i/>
          <w:iCs/>
          <w:sz w:val="20"/>
          <w:szCs w:val="20"/>
        </w:rPr>
        <w:t xml:space="preserve">badawcza w Europie. Dostarcza atrakcyjne, kompletne i konkurencyjne rozwiązania technologiczne. Oferuje biznesowi unikalny system „rzucania wyzwań”, dzięki któremu grupa 4 500 naukowców w nie więcej niż 15 dni roboczych przyjmuje wyzwanie biznesowe i proponuje przedsiębiorcy opracowanie skutecznego rozwiązania wdrożeniowego. Angażuje przy tym najwyższe w Polsce kompetencje naukowców i unikalną w skali kraju aparaturę naukową. Co najważniejsze – przedsiębiorca nie ponosi żadnych kosztów związanych z opracowaniem pomysłu na prace badawcze. Łukasiewicz w dogodny sposób wychodzi naprzeciw oczekiwaniom biznesu. Przedsiębiorca może zdecydować się </w:t>
      </w:r>
      <w:r w:rsidRPr="007A645C">
        <w:rPr>
          <w:rStyle w:val="markedcontent"/>
          <w:rFonts w:ascii="Times New Roman" w:hAnsi="Times New Roman"/>
          <w:i/>
          <w:iCs/>
          <w:sz w:val="20"/>
          <w:szCs w:val="20"/>
        </w:rPr>
        <w:lastRenderedPageBreak/>
        <w:t>na kontakt nie tylko przez formularz na stronie https://lukasiewicz.gov.pl/biznes/ ale także w ponad 50 lokalizacjach: Instytutach Łukasiewicza i ich oddziałach w całej Polsce. Wszędzie otrzyma ten sam – wysokiej jakości – produkt lub usługę. Potencjał Łukasiewicza skupia się wokół takich obszarów badawczych jak: Zdrowie, Inteligentna mobilność, Transformacja cyfrowa oraz Zrównoważona gospodarka i energia.</w:t>
      </w:r>
    </w:p>
    <w:p w:rsidR="00620685" w:rsidRPr="007403A8" w:rsidRDefault="00620685" w:rsidP="00620685">
      <w:pPr>
        <w:spacing w:line="240" w:lineRule="auto"/>
        <w:jc w:val="both"/>
        <w:rPr>
          <w:rFonts w:ascii="Times New Roman" w:hAnsi="Times New Roman"/>
          <w:b/>
          <w:iCs/>
        </w:rPr>
      </w:pPr>
      <w:r w:rsidRPr="007403A8">
        <w:rPr>
          <w:rFonts w:ascii="Times New Roman" w:hAnsi="Times New Roman"/>
          <w:b/>
          <w:iCs/>
        </w:rPr>
        <w:t>2. Ogól</w:t>
      </w:r>
      <w:r w:rsidR="00BA4AE1" w:rsidRPr="007403A8">
        <w:rPr>
          <w:rFonts w:ascii="Times New Roman" w:hAnsi="Times New Roman"/>
          <w:b/>
          <w:iCs/>
        </w:rPr>
        <w:t>nopolska Izba Branży Skórzanej</w:t>
      </w:r>
    </w:p>
    <w:p w:rsidR="00620685" w:rsidRPr="007A645C" w:rsidRDefault="00620685" w:rsidP="00620685">
      <w:pPr>
        <w:jc w:val="both"/>
        <w:rPr>
          <w:rFonts w:ascii="Times New Roman" w:hAnsi="Times New Roman"/>
          <w:i/>
          <w:sz w:val="20"/>
          <w:szCs w:val="20"/>
        </w:rPr>
      </w:pPr>
      <w:r w:rsidRPr="007A645C">
        <w:rPr>
          <w:rFonts w:ascii="Times New Roman" w:hAnsi="Times New Roman"/>
          <w:i/>
          <w:sz w:val="20"/>
          <w:szCs w:val="20"/>
        </w:rPr>
        <w:t>Ogólnopolska Izba Branży Skórzanej (OIBS) zrzesza firmy zajmujące się wyprawą i przetwórstwem skór zwierzęcych, kaletnictwem, obuwnictwem i dystrybucją specjalistycznych środków. Do Izby należą przedsiębiorcy z terenu całego kraju.</w:t>
      </w:r>
    </w:p>
    <w:p w:rsidR="00620685" w:rsidRPr="007A645C" w:rsidRDefault="00620685" w:rsidP="00620685">
      <w:pPr>
        <w:spacing w:after="0"/>
        <w:rPr>
          <w:rFonts w:ascii="Times New Roman" w:hAnsi="Times New Roman"/>
          <w:i/>
          <w:sz w:val="20"/>
          <w:szCs w:val="20"/>
        </w:rPr>
      </w:pPr>
      <w:r w:rsidRPr="007A645C">
        <w:rPr>
          <w:rFonts w:ascii="Times New Roman" w:hAnsi="Times New Roman"/>
          <w:i/>
          <w:sz w:val="20"/>
          <w:szCs w:val="20"/>
        </w:rPr>
        <w:t>OIBS zajmuje się przede wszystkim: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100" w:afterAutospacing="1" w:line="240" w:lineRule="auto"/>
        <w:ind w:left="314" w:hanging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Uczestniczeniem w tworzeniu i opiniowaniu aktów prawnych ważnych dla branży skórzano-obuwniczej, przygotowywanych przez odpowiednie Ministerstwa i Agendy rządowe;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100" w:afterAutospacing="1" w:line="240" w:lineRule="auto"/>
        <w:ind w:left="314" w:hanging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Reprezentowaniem polskiej branży skórzano-obuwniczej wobec administracji centralnej i terenowej oraz zagranicznych organizacji gospodarczych;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100" w:afterAutospacing="1" w:line="240" w:lineRule="auto"/>
        <w:ind w:left="314" w:hanging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Współpracą z uczelniami i instytucjami badawczymi;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0" w:line="240" w:lineRule="auto"/>
        <w:ind w:left="314" w:hanging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Promocją branży skórzanej w kraju i za granicą;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0" w:afterAutospacing="1" w:line="240" w:lineRule="auto"/>
        <w:ind w:left="314" w:hanging="31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Współpracą z Polską Izbą Przemysłu Skórzanego w Łodzi w zakresie wspólnych inicjatyw podejmowanych na rzecz przemysłu skórzanego;</w:t>
      </w:r>
    </w:p>
    <w:p w:rsidR="00620685" w:rsidRPr="007A645C" w:rsidRDefault="00620685" w:rsidP="00620685">
      <w:pPr>
        <w:numPr>
          <w:ilvl w:val="0"/>
          <w:numId w:val="8"/>
        </w:numPr>
        <w:shd w:val="clear" w:color="auto" w:fill="FFFFFF"/>
        <w:tabs>
          <w:tab w:val="clear" w:pos="720"/>
          <w:tab w:val="num" w:pos="314"/>
        </w:tabs>
        <w:spacing w:after="0" w:line="240" w:lineRule="auto"/>
        <w:ind w:left="314" w:hanging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Działalnością edukacyjną poprzez organizowanie seminariów i szkoleń oraz działaniami na rzecz przywrócenia i rozwoju szkolnictwa zawodowego w branży skórzanej.</w:t>
      </w:r>
    </w:p>
    <w:p w:rsidR="00620685" w:rsidRPr="007A645C" w:rsidRDefault="00620685" w:rsidP="00620685">
      <w:pPr>
        <w:spacing w:before="24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>OIBS świadczy usługi w zakresie ekspertyz wodno-prawnych, ochrony środowiska, doradztwa podatkowego, handlu zagranicznego oraz oceny jakości reklamowanych wyrobów skórzanych dla klientów indywidualnych, organizacji konsumenckich i sądów.</w:t>
      </w:r>
    </w:p>
    <w:p w:rsidR="00620685" w:rsidRPr="007403A8" w:rsidRDefault="00620685" w:rsidP="00620685">
      <w:pPr>
        <w:spacing w:line="240" w:lineRule="auto"/>
        <w:jc w:val="both"/>
        <w:rPr>
          <w:rFonts w:ascii="Times New Roman" w:hAnsi="Times New Roman"/>
          <w:b/>
          <w:bCs/>
          <w:lang w:val="en-US"/>
        </w:rPr>
      </w:pPr>
      <w:r w:rsidRPr="007403A8">
        <w:rPr>
          <w:rFonts w:ascii="Times New Roman" w:hAnsi="Times New Roman"/>
          <w:b/>
          <w:bCs/>
          <w:lang w:val="en-US"/>
        </w:rPr>
        <w:t xml:space="preserve">3. </w:t>
      </w:r>
      <w:r w:rsidRPr="007403A8">
        <w:rPr>
          <w:rFonts w:ascii="Times New Roman" w:hAnsi="Times New Roman"/>
          <w:b/>
          <w:shd w:val="clear" w:color="auto" w:fill="FFFFFF"/>
          <w:lang w:val="en-US"/>
        </w:rPr>
        <w:t>Prüf- und Fors</w:t>
      </w:r>
      <w:r w:rsidR="00EE0D6B" w:rsidRPr="007403A8">
        <w:rPr>
          <w:rFonts w:ascii="Times New Roman" w:hAnsi="Times New Roman"/>
          <w:b/>
          <w:shd w:val="clear" w:color="auto" w:fill="FFFFFF"/>
          <w:lang w:val="en-US"/>
        </w:rPr>
        <w:t>chungsinstitut Pirmasens e.V.</w:t>
      </w:r>
    </w:p>
    <w:p w:rsidR="00620685" w:rsidRPr="007A645C" w:rsidRDefault="00620685" w:rsidP="00620685">
      <w:pPr>
        <w:spacing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A645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Prüf- und Forschungsinstitut Pirmasens e.V. (PFI) to </w:t>
      </w:r>
      <w:r w:rsidRPr="007A645C">
        <w:rPr>
          <w:rFonts w:ascii="Times New Roman" w:hAnsi="Times New Roman"/>
          <w:bCs/>
          <w:i/>
          <w:sz w:val="20"/>
          <w:szCs w:val="20"/>
        </w:rPr>
        <w:t>instytut badawczy, zajmujący się badaniami wyrobów przemysłu skórzanego, w szczególności obuwia, zarówno powszechnego użytku jak i specjalnego - ochronnego i do użytku w pracy oraz obuwia dla różnych grup zawodowych.</w:t>
      </w:r>
    </w:p>
    <w:p w:rsidR="00620685" w:rsidRPr="007A645C" w:rsidRDefault="00620685" w:rsidP="0062068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A645C">
        <w:rPr>
          <w:rFonts w:ascii="Times New Roman" w:hAnsi="Times New Roman"/>
          <w:bCs/>
          <w:i/>
          <w:sz w:val="20"/>
          <w:szCs w:val="20"/>
        </w:rPr>
        <w:t xml:space="preserve">PFI prowadzi także badania wyrobów z innych branż - sportowej, motoryzacyjnej, tworzyw sztucznych i materiałów tekstylnych. Instytut oferuje możliwość badań chemicznych, fizycznych, biotechnologicznych i mikrobiologicznych. </w:t>
      </w:r>
      <w:r w:rsidRPr="007A645C">
        <w:rPr>
          <w:rFonts w:ascii="Times New Roman" w:hAnsi="Times New Roman"/>
          <w:i/>
          <w:sz w:val="20"/>
          <w:szCs w:val="20"/>
        </w:rPr>
        <w:t xml:space="preserve">Zgodnie z indywidualnymi potrzebami klientów PFI opracowuje i konstruuje szeroką gamę urządzeń testowych dopasowanych do zindywidualizowanych metod badawczych. Jako akredytowana jednostka </w:t>
      </w:r>
      <w:hyperlink r:id="rId11" w:history="1">
        <w:r w:rsidRPr="007A645C">
          <w:rPr>
            <w:rStyle w:val="Hipercze"/>
            <w:rFonts w:ascii="Times New Roman" w:hAnsi="Times New Roman"/>
            <w:bCs/>
            <w:i/>
            <w:color w:val="auto"/>
            <w:sz w:val="20"/>
            <w:szCs w:val="20"/>
            <w:u w:val="none"/>
          </w:rPr>
          <w:t>certyfikująca</w:t>
        </w:r>
      </w:hyperlink>
      <w:r w:rsidR="00521E77">
        <w:rPr>
          <w:rFonts w:ascii="Times New Roman" w:hAnsi="Times New Roman"/>
          <w:sz w:val="20"/>
          <w:szCs w:val="20"/>
        </w:rPr>
        <w:t xml:space="preserve"> </w:t>
      </w:r>
      <w:r w:rsidRPr="007A645C">
        <w:rPr>
          <w:rFonts w:ascii="Times New Roman" w:hAnsi="Times New Roman"/>
          <w:i/>
          <w:sz w:val="20"/>
          <w:szCs w:val="20"/>
        </w:rPr>
        <w:t>sprawdza i certyfikuje jakość artykułów codziennego użytku i środków ochrony osobistej, a także systemów zarządzania jakością, energią i środowiskiem.</w:t>
      </w:r>
    </w:p>
    <w:p w:rsidR="00521E77" w:rsidRDefault="00521E77" w:rsidP="00620685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21E77" w:rsidRPr="00521E77" w:rsidRDefault="00521E77" w:rsidP="00521E77">
      <w:pPr>
        <w:rPr>
          <w:rFonts w:ascii="Times New Roman" w:hAnsi="Times New Roman"/>
          <w:sz w:val="20"/>
          <w:szCs w:val="20"/>
        </w:rPr>
      </w:pPr>
    </w:p>
    <w:p w:rsidR="00521E77" w:rsidRDefault="00521E77" w:rsidP="00521E77">
      <w:pPr>
        <w:rPr>
          <w:rFonts w:ascii="Times New Roman" w:hAnsi="Times New Roman"/>
          <w:sz w:val="20"/>
          <w:szCs w:val="20"/>
        </w:rPr>
      </w:pPr>
    </w:p>
    <w:p w:rsidR="00620685" w:rsidRPr="00521E77" w:rsidRDefault="00521E77" w:rsidP="00521E77">
      <w:pPr>
        <w:tabs>
          <w:tab w:val="left" w:pos="13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521E77">
        <w:rPr>
          <w:rFonts w:ascii="Times New Roman" w:hAnsi="Times New Roman"/>
          <w:sz w:val="20"/>
          <w:szCs w:val="20"/>
        </w:rPr>
        <w:drawing>
          <wp:inline distT="0" distB="0" distL="0" distR="0">
            <wp:extent cx="5048250" cy="1152525"/>
            <wp:effectExtent l="19050" t="0" r="0" b="0"/>
            <wp:docPr id="12" name="Obraz 1" descr="C:\Users\OIBS\Desktop\NCBR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BS\Desktop\NCBR  LOG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412" cy="115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685" w:rsidRPr="00521E77" w:rsidSect="00D8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50" w:rsidRDefault="000D6950" w:rsidP="008E42FC">
      <w:pPr>
        <w:spacing w:after="0" w:line="240" w:lineRule="auto"/>
      </w:pPr>
      <w:r>
        <w:separator/>
      </w:r>
    </w:p>
  </w:endnote>
  <w:endnote w:type="continuationSeparator" w:id="1">
    <w:p w:rsidR="000D6950" w:rsidRDefault="000D6950" w:rsidP="008E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50" w:rsidRDefault="000D6950" w:rsidP="008E42FC">
      <w:pPr>
        <w:spacing w:after="0" w:line="240" w:lineRule="auto"/>
      </w:pPr>
      <w:r>
        <w:separator/>
      </w:r>
    </w:p>
  </w:footnote>
  <w:footnote w:type="continuationSeparator" w:id="1">
    <w:p w:rsidR="000D6950" w:rsidRDefault="000D6950" w:rsidP="008E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9FE"/>
    <w:multiLevelType w:val="hybridMultilevel"/>
    <w:tmpl w:val="9E605AC2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332B2EBA"/>
    <w:multiLevelType w:val="hybridMultilevel"/>
    <w:tmpl w:val="78C461D4"/>
    <w:lvl w:ilvl="0" w:tplc="59904E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2B7697"/>
    <w:multiLevelType w:val="hybridMultilevel"/>
    <w:tmpl w:val="A574DF60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>
    <w:nsid w:val="3BDF1791"/>
    <w:multiLevelType w:val="hybridMultilevel"/>
    <w:tmpl w:val="2F36A69C"/>
    <w:lvl w:ilvl="0" w:tplc="22CC3296">
      <w:start w:val="1"/>
      <w:numFmt w:val="decimal"/>
      <w:lvlText w:val="%1."/>
      <w:lvlJc w:val="left"/>
      <w:pPr>
        <w:ind w:left="765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51A20143"/>
    <w:multiLevelType w:val="hybridMultilevel"/>
    <w:tmpl w:val="46661A34"/>
    <w:lvl w:ilvl="0" w:tplc="B7829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711C9F"/>
    <w:multiLevelType w:val="hybridMultilevel"/>
    <w:tmpl w:val="46661A34"/>
    <w:lvl w:ilvl="0" w:tplc="B7829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9D146B"/>
    <w:multiLevelType w:val="hybridMultilevel"/>
    <w:tmpl w:val="46661A34"/>
    <w:lvl w:ilvl="0" w:tplc="B7829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81601"/>
    <w:multiLevelType w:val="hybridMultilevel"/>
    <w:tmpl w:val="E80484AC"/>
    <w:lvl w:ilvl="0" w:tplc="E53CE5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CA7DA9"/>
    <w:multiLevelType w:val="multilevel"/>
    <w:tmpl w:val="671C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96B05"/>
    <w:multiLevelType w:val="hybridMultilevel"/>
    <w:tmpl w:val="D868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1D9"/>
    <w:rsid w:val="00010A66"/>
    <w:rsid w:val="0003393B"/>
    <w:rsid w:val="00035670"/>
    <w:rsid w:val="00042B24"/>
    <w:rsid w:val="00053D92"/>
    <w:rsid w:val="00061FB7"/>
    <w:rsid w:val="00063016"/>
    <w:rsid w:val="00066037"/>
    <w:rsid w:val="00082CF6"/>
    <w:rsid w:val="00095442"/>
    <w:rsid w:val="000B6BF6"/>
    <w:rsid w:val="000D6950"/>
    <w:rsid w:val="000E158A"/>
    <w:rsid w:val="000E5862"/>
    <w:rsid w:val="000F463B"/>
    <w:rsid w:val="000F7014"/>
    <w:rsid w:val="001304A9"/>
    <w:rsid w:val="00151B7C"/>
    <w:rsid w:val="001524CF"/>
    <w:rsid w:val="00163224"/>
    <w:rsid w:val="00177BEE"/>
    <w:rsid w:val="001868D3"/>
    <w:rsid w:val="001A4522"/>
    <w:rsid w:val="001B43F7"/>
    <w:rsid w:val="00200B3C"/>
    <w:rsid w:val="002139E2"/>
    <w:rsid w:val="00217A55"/>
    <w:rsid w:val="002273A4"/>
    <w:rsid w:val="002276E5"/>
    <w:rsid w:val="00232CAD"/>
    <w:rsid w:val="002479DA"/>
    <w:rsid w:val="00254083"/>
    <w:rsid w:val="00272F50"/>
    <w:rsid w:val="0028232E"/>
    <w:rsid w:val="00284FFA"/>
    <w:rsid w:val="002950BC"/>
    <w:rsid w:val="00296B5E"/>
    <w:rsid w:val="002B2E30"/>
    <w:rsid w:val="002B677D"/>
    <w:rsid w:val="002D02DE"/>
    <w:rsid w:val="003060CF"/>
    <w:rsid w:val="00310F8E"/>
    <w:rsid w:val="0031139F"/>
    <w:rsid w:val="00316C01"/>
    <w:rsid w:val="003269DD"/>
    <w:rsid w:val="00331A80"/>
    <w:rsid w:val="003525D6"/>
    <w:rsid w:val="00364B18"/>
    <w:rsid w:val="003726BD"/>
    <w:rsid w:val="00387935"/>
    <w:rsid w:val="00392124"/>
    <w:rsid w:val="003D1399"/>
    <w:rsid w:val="003D5149"/>
    <w:rsid w:val="003E02CE"/>
    <w:rsid w:val="003E078A"/>
    <w:rsid w:val="00403655"/>
    <w:rsid w:val="0040588C"/>
    <w:rsid w:val="00406B46"/>
    <w:rsid w:val="00416549"/>
    <w:rsid w:val="004227D2"/>
    <w:rsid w:val="0042791C"/>
    <w:rsid w:val="004551D9"/>
    <w:rsid w:val="0046694D"/>
    <w:rsid w:val="00476A47"/>
    <w:rsid w:val="00493A16"/>
    <w:rsid w:val="004A208B"/>
    <w:rsid w:val="004E0944"/>
    <w:rsid w:val="004E2170"/>
    <w:rsid w:val="004F72FE"/>
    <w:rsid w:val="005133BA"/>
    <w:rsid w:val="005133FE"/>
    <w:rsid w:val="00521E77"/>
    <w:rsid w:val="00524FC5"/>
    <w:rsid w:val="005252D4"/>
    <w:rsid w:val="00540FF0"/>
    <w:rsid w:val="00554A4D"/>
    <w:rsid w:val="00554ADE"/>
    <w:rsid w:val="00570AC0"/>
    <w:rsid w:val="005746B1"/>
    <w:rsid w:val="00584EBB"/>
    <w:rsid w:val="005971A0"/>
    <w:rsid w:val="005A3719"/>
    <w:rsid w:val="005B37C7"/>
    <w:rsid w:val="005B63CD"/>
    <w:rsid w:val="005D2BFE"/>
    <w:rsid w:val="005E63C9"/>
    <w:rsid w:val="00607F08"/>
    <w:rsid w:val="00620685"/>
    <w:rsid w:val="0062159D"/>
    <w:rsid w:val="0062163F"/>
    <w:rsid w:val="0063540D"/>
    <w:rsid w:val="006409EF"/>
    <w:rsid w:val="00687088"/>
    <w:rsid w:val="006A6940"/>
    <w:rsid w:val="006B2BDA"/>
    <w:rsid w:val="006B46CD"/>
    <w:rsid w:val="006F6A99"/>
    <w:rsid w:val="00706C62"/>
    <w:rsid w:val="007403A8"/>
    <w:rsid w:val="00756A30"/>
    <w:rsid w:val="00773732"/>
    <w:rsid w:val="007A1B74"/>
    <w:rsid w:val="007A645C"/>
    <w:rsid w:val="007B6919"/>
    <w:rsid w:val="007C39F0"/>
    <w:rsid w:val="007C4B5C"/>
    <w:rsid w:val="007D32DD"/>
    <w:rsid w:val="008030A8"/>
    <w:rsid w:val="00816263"/>
    <w:rsid w:val="008214C4"/>
    <w:rsid w:val="00831FEC"/>
    <w:rsid w:val="0084126E"/>
    <w:rsid w:val="00842533"/>
    <w:rsid w:val="0084727E"/>
    <w:rsid w:val="00856798"/>
    <w:rsid w:val="008702C5"/>
    <w:rsid w:val="008866D8"/>
    <w:rsid w:val="008A0CF1"/>
    <w:rsid w:val="008D3439"/>
    <w:rsid w:val="008D41CC"/>
    <w:rsid w:val="008E34B1"/>
    <w:rsid w:val="008E42FC"/>
    <w:rsid w:val="008F32F9"/>
    <w:rsid w:val="009007D7"/>
    <w:rsid w:val="00924234"/>
    <w:rsid w:val="00957362"/>
    <w:rsid w:val="00957E9D"/>
    <w:rsid w:val="0096474B"/>
    <w:rsid w:val="00967581"/>
    <w:rsid w:val="0097056A"/>
    <w:rsid w:val="00971FDC"/>
    <w:rsid w:val="009A1C86"/>
    <w:rsid w:val="009B0C5C"/>
    <w:rsid w:val="009C38AC"/>
    <w:rsid w:val="009D515F"/>
    <w:rsid w:val="009E0EA7"/>
    <w:rsid w:val="009E14BB"/>
    <w:rsid w:val="00A12A96"/>
    <w:rsid w:val="00A145CE"/>
    <w:rsid w:val="00A543E6"/>
    <w:rsid w:val="00A60184"/>
    <w:rsid w:val="00A855F6"/>
    <w:rsid w:val="00A97E96"/>
    <w:rsid w:val="00AA3F2F"/>
    <w:rsid w:val="00AB207E"/>
    <w:rsid w:val="00AD0B6D"/>
    <w:rsid w:val="00B0004C"/>
    <w:rsid w:val="00B12BB4"/>
    <w:rsid w:val="00B30439"/>
    <w:rsid w:val="00B4320B"/>
    <w:rsid w:val="00B57ACB"/>
    <w:rsid w:val="00B65831"/>
    <w:rsid w:val="00B84DBB"/>
    <w:rsid w:val="00B908D1"/>
    <w:rsid w:val="00B90C31"/>
    <w:rsid w:val="00BA4AE1"/>
    <w:rsid w:val="00BB4309"/>
    <w:rsid w:val="00BC12FB"/>
    <w:rsid w:val="00BC57AA"/>
    <w:rsid w:val="00BD143F"/>
    <w:rsid w:val="00BD1E01"/>
    <w:rsid w:val="00BD5AA7"/>
    <w:rsid w:val="00BD7170"/>
    <w:rsid w:val="00BD7AE0"/>
    <w:rsid w:val="00C07698"/>
    <w:rsid w:val="00C35FEA"/>
    <w:rsid w:val="00C5031E"/>
    <w:rsid w:val="00C55D64"/>
    <w:rsid w:val="00C55DF0"/>
    <w:rsid w:val="00C57986"/>
    <w:rsid w:val="00C80260"/>
    <w:rsid w:val="00C8477E"/>
    <w:rsid w:val="00C91889"/>
    <w:rsid w:val="00C96BA4"/>
    <w:rsid w:val="00CB40DD"/>
    <w:rsid w:val="00CC2168"/>
    <w:rsid w:val="00CC3448"/>
    <w:rsid w:val="00CC6DE8"/>
    <w:rsid w:val="00CD4399"/>
    <w:rsid w:val="00D1792F"/>
    <w:rsid w:val="00D31DC1"/>
    <w:rsid w:val="00D35F10"/>
    <w:rsid w:val="00D35FF0"/>
    <w:rsid w:val="00D40FC2"/>
    <w:rsid w:val="00D5198A"/>
    <w:rsid w:val="00D51C59"/>
    <w:rsid w:val="00D521FF"/>
    <w:rsid w:val="00D67B78"/>
    <w:rsid w:val="00D81D2D"/>
    <w:rsid w:val="00DB587B"/>
    <w:rsid w:val="00DC1EFA"/>
    <w:rsid w:val="00DC5F0C"/>
    <w:rsid w:val="00DE0FEE"/>
    <w:rsid w:val="00DF1E3A"/>
    <w:rsid w:val="00E16BA5"/>
    <w:rsid w:val="00E43371"/>
    <w:rsid w:val="00E539C4"/>
    <w:rsid w:val="00E55917"/>
    <w:rsid w:val="00E74E89"/>
    <w:rsid w:val="00E8596E"/>
    <w:rsid w:val="00EA42F1"/>
    <w:rsid w:val="00EE0D6B"/>
    <w:rsid w:val="00EF3FB0"/>
    <w:rsid w:val="00F0374A"/>
    <w:rsid w:val="00F16B19"/>
    <w:rsid w:val="00F3193E"/>
    <w:rsid w:val="00F360A2"/>
    <w:rsid w:val="00F50317"/>
    <w:rsid w:val="00F57730"/>
    <w:rsid w:val="00F64D1D"/>
    <w:rsid w:val="00F91F80"/>
    <w:rsid w:val="00FA0123"/>
    <w:rsid w:val="00FB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2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30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4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04A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C3448"/>
    <w:rPr>
      <w:rFonts w:ascii="Cambria" w:hAnsi="Cambria" w:cs="Times New Roman"/>
      <w:color w:val="243F60"/>
      <w:sz w:val="24"/>
      <w:szCs w:val="24"/>
    </w:rPr>
  </w:style>
  <w:style w:type="paragraph" w:styleId="Akapitzlist">
    <w:name w:val="List Paragraph"/>
    <w:basedOn w:val="Normalny"/>
    <w:uiPriority w:val="99"/>
    <w:qFormat/>
    <w:rsid w:val="00455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B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6919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4E0944"/>
    <w:rPr>
      <w:color w:val="000000"/>
      <w:sz w:val="19"/>
    </w:rPr>
  </w:style>
  <w:style w:type="character" w:customStyle="1" w:styleId="apple-converted-space">
    <w:name w:val="apple-converted-space"/>
    <w:basedOn w:val="Domylnaczcionkaakapitu"/>
    <w:uiPriority w:val="99"/>
    <w:rsid w:val="004E0944"/>
    <w:rPr>
      <w:rFonts w:cs="Times New Roman"/>
    </w:rPr>
  </w:style>
  <w:style w:type="character" w:styleId="HTML-cytat">
    <w:name w:val="HTML Cite"/>
    <w:basedOn w:val="Domylnaczcionkaakapitu"/>
    <w:uiPriority w:val="99"/>
    <w:semiHidden/>
    <w:rsid w:val="004E0944"/>
    <w:rPr>
      <w:rFonts w:cs="Times New Roman"/>
      <w:i/>
      <w:iCs/>
    </w:rPr>
  </w:style>
  <w:style w:type="character" w:customStyle="1" w:styleId="citationyear">
    <w:name w:val="citation_year"/>
    <w:basedOn w:val="Domylnaczcionkaakapitu"/>
    <w:uiPriority w:val="99"/>
    <w:rsid w:val="004E0944"/>
    <w:rPr>
      <w:rFonts w:cs="Times New Roman"/>
    </w:rPr>
  </w:style>
  <w:style w:type="character" w:customStyle="1" w:styleId="citationvolume">
    <w:name w:val="citation_volume"/>
    <w:basedOn w:val="Domylnaczcionkaakapitu"/>
    <w:uiPriority w:val="99"/>
    <w:rsid w:val="004E0944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95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E4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42F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E42FC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C80260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179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792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93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93B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fi--germany-de.translate.goog/dienstleistungen/zertifizierung/?_x_tr_sl=de&amp;_x_tr_tl=pl&amp;_x_tr_hl=pl&amp;_x_tr_pto=nui,s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B16A-7CD3-40AE-AF6B-4A47623B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Chromowe odpady garbarskie – problem czy zasób</vt:lpstr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Chromowe odpady garbarskie – problem czy zasób</dc:title>
  <dc:creator>oem</dc:creator>
  <cp:lastModifiedBy>OIBS</cp:lastModifiedBy>
  <cp:revision>11</cp:revision>
  <dcterms:created xsi:type="dcterms:W3CDTF">2021-10-14T06:29:00Z</dcterms:created>
  <dcterms:modified xsi:type="dcterms:W3CDTF">2021-10-14T09:27:00Z</dcterms:modified>
</cp:coreProperties>
</file>